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2FAC9" w14:textId="77777777" w:rsidR="00000000" w:rsidRDefault="00C15827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BO4. Update on Auditing Requirements for </w:t>
      </w:r>
      <w:r>
        <w:rPr>
          <w:rFonts w:eastAsia="Times New Roman"/>
          <w:i/>
          <w:iCs/>
        </w:rPr>
        <w:t>Title IV Programs</w:t>
      </w:r>
      <w:r>
        <w:rPr>
          <w:rFonts w:eastAsia="Times New Roman"/>
        </w:rPr>
        <w:t xml:space="preserve"> (Q&amp;A)</w:t>
      </w:r>
      <w:r>
        <w:rPr>
          <w:rFonts w:eastAsia="Times New Roman"/>
        </w:rPr>
        <w:t xml:space="preserve"> </w:t>
      </w:r>
    </w:p>
    <w:p w14:paraId="6FDBC4B6" w14:textId="77777777" w:rsidR="00000000" w:rsidRDefault="00C15827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Question:</w:t>
      </w:r>
      <w:r>
        <w:rPr>
          <w:rFonts w:eastAsia="Times New Roman"/>
        </w:rPr>
        <w:t xml:space="preserve"> </w:t>
      </w:r>
    </w:p>
    <w:p w14:paraId="5D167632" w14:textId="77777777" w:rsidR="00000000" w:rsidRDefault="00C15827">
      <w:pPr>
        <w:divId w:val="421217124"/>
        <w:rPr>
          <w:rFonts w:eastAsia="Times New Roman"/>
        </w:rPr>
      </w:pPr>
      <w:r>
        <w:rPr>
          <w:rFonts w:eastAsia="Times New Roman"/>
        </w:rPr>
        <w:t>Does the new 30 day/6 month audit submission requirement apply to public schools.</w:t>
      </w:r>
    </w:p>
    <w:p w14:paraId="41C15493" w14:textId="77777777" w:rsidR="00000000" w:rsidRDefault="00C15827">
      <w:pPr>
        <w:divId w:val="1647393744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30D66145" w14:textId="77777777" w:rsidR="00000000" w:rsidRDefault="00C15827">
      <w:pPr>
        <w:divId w:val="1773084473"/>
        <w:rPr>
          <w:rFonts w:eastAsia="Times New Roman"/>
        </w:rPr>
      </w:pPr>
      <w:r>
        <w:rPr>
          <w:rFonts w:eastAsia="Times New Roman"/>
        </w:rPr>
        <w:t>SME Bales: No, they do not. Public schools are subject to the due dates established for single audits, which is the earlier of 9 months after FYE or 30 days from receipt of the report (2 CFR 200.512(a)).</w:t>
      </w:r>
    </w:p>
    <w:p w14:paraId="2B5E740D" w14:textId="77777777" w:rsidR="00000000" w:rsidRDefault="00C15827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Question:</w:t>
      </w:r>
      <w:r>
        <w:rPr>
          <w:rFonts w:eastAsia="Times New Roman"/>
        </w:rPr>
        <w:t xml:space="preserve"> </w:t>
      </w:r>
    </w:p>
    <w:p w14:paraId="6196E459" w14:textId="77777777" w:rsidR="00000000" w:rsidRDefault="00C15827">
      <w:pPr>
        <w:divId w:val="1957909683"/>
        <w:rPr>
          <w:rFonts w:eastAsia="Times New Roman"/>
        </w:rPr>
      </w:pPr>
      <w:r>
        <w:rPr>
          <w:rFonts w:eastAsia="Times New Roman"/>
        </w:rPr>
        <w:t>Do slides 15-18 apply to Single Audits?</w:t>
      </w:r>
    </w:p>
    <w:p w14:paraId="74C30B10" w14:textId="77777777" w:rsidR="00000000" w:rsidRDefault="00C15827">
      <w:pPr>
        <w:divId w:val="1618214954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798C51C1" w14:textId="77777777" w:rsidR="00000000" w:rsidRDefault="00C15827">
      <w:pPr>
        <w:divId w:val="1740446465"/>
        <w:rPr>
          <w:rFonts w:eastAsia="Times New Roman"/>
        </w:rPr>
      </w:pPr>
      <w:r>
        <w:rPr>
          <w:rFonts w:eastAsia="Times New Roman"/>
        </w:rPr>
        <w:t>SME Bales: No, those slides apply only to proprietary schools audited under the new 2023 Title IV Audit Guide. You'll hear now about changes to single audits.</w:t>
      </w:r>
    </w:p>
    <w:p w14:paraId="17295D84" w14:textId="77777777" w:rsidR="00000000" w:rsidRDefault="00C15827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Question:</w:t>
      </w:r>
      <w:r>
        <w:rPr>
          <w:rFonts w:eastAsia="Times New Roman"/>
        </w:rPr>
        <w:t xml:space="preserve"> </w:t>
      </w:r>
    </w:p>
    <w:p w14:paraId="28F542EF" w14:textId="77777777" w:rsidR="00000000" w:rsidRDefault="00C15827">
      <w:pPr>
        <w:divId w:val="2029066685"/>
        <w:rPr>
          <w:rFonts w:eastAsia="Times New Roman"/>
        </w:rPr>
      </w:pPr>
      <w:r>
        <w:rPr>
          <w:rFonts w:eastAsia="Times New Roman"/>
        </w:rPr>
        <w:t>below there is an answer to a question about 9 months and six months. wher</w:t>
      </w:r>
      <w:r>
        <w:rPr>
          <w:rFonts w:eastAsia="Times New Roman"/>
        </w:rPr>
        <w:t>e did the $750,000, which is now 1 million come in?</w:t>
      </w:r>
    </w:p>
    <w:p w14:paraId="64158438" w14:textId="77777777" w:rsidR="00000000" w:rsidRDefault="00C15827">
      <w:pPr>
        <w:divId w:val="2121946190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287E376E" w14:textId="77777777" w:rsidR="00000000" w:rsidRDefault="00C15827">
      <w:pPr>
        <w:divId w:val="2011365991"/>
        <w:rPr>
          <w:rFonts w:eastAsia="Times New Roman"/>
        </w:rPr>
      </w:pPr>
      <w:r>
        <w:rPr>
          <w:rFonts w:eastAsia="Times New Roman"/>
        </w:rPr>
        <w:t>SME Bales: $750,000 in Federal expenditures is currently the threshold for single audit, though there is a proposal to increase that threshold to $1,000,000. All proprietary schools are subject</w:t>
      </w:r>
      <w:r>
        <w:rPr>
          <w:rFonts w:eastAsia="Times New Roman"/>
        </w:rPr>
        <w:t xml:space="preserve"> to audit because there is no established audit threshold.</w:t>
      </w:r>
    </w:p>
    <w:p w14:paraId="0D213DB2" w14:textId="77777777" w:rsidR="00000000" w:rsidRDefault="00C15827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Question:</w:t>
      </w:r>
      <w:r>
        <w:rPr>
          <w:rFonts w:eastAsia="Times New Roman"/>
        </w:rPr>
        <w:t xml:space="preserve"> </w:t>
      </w:r>
    </w:p>
    <w:p w14:paraId="4F489B1F" w14:textId="77777777" w:rsidR="00000000" w:rsidRDefault="00C15827">
      <w:pPr>
        <w:divId w:val="1919709871"/>
        <w:rPr>
          <w:rFonts w:eastAsia="Times New Roman"/>
        </w:rPr>
      </w:pPr>
      <w:r>
        <w:rPr>
          <w:rFonts w:eastAsia="Times New Roman"/>
        </w:rPr>
        <w:t>Does this applies to foreign schools as well?</w:t>
      </w:r>
    </w:p>
    <w:p w14:paraId="2F73DCB7" w14:textId="77777777" w:rsidR="00000000" w:rsidRDefault="00C15827">
      <w:pPr>
        <w:divId w:val="3746636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0AE713E7" w14:textId="77777777" w:rsidR="00000000" w:rsidRDefault="00C15827">
      <w:pPr>
        <w:divId w:val="1264922898"/>
        <w:rPr>
          <w:rFonts w:eastAsia="Times New Roman"/>
        </w:rPr>
      </w:pPr>
      <w:r>
        <w:rPr>
          <w:rFonts w:eastAsia="Times New Roman"/>
        </w:rPr>
        <w:t>SME -Felski: These changes apply to audits of proprietary schools per the new 2023 Title IV Audit Guide. They do not apply to au</w:t>
      </w:r>
      <w:r>
        <w:rPr>
          <w:rFonts w:eastAsia="Times New Roman"/>
        </w:rPr>
        <w:t>dits of foreign schools. Are you asking about a specific requirement for foreign school audit?</w:t>
      </w:r>
    </w:p>
    <w:p w14:paraId="5DF339F7" w14:textId="77777777" w:rsidR="00000000" w:rsidRDefault="00C15827">
      <w:pPr>
        <w:divId w:val="3746636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5703A9A5" w14:textId="77777777" w:rsidR="00000000" w:rsidRDefault="00C15827">
      <w:pPr>
        <w:divId w:val="680350656"/>
        <w:rPr>
          <w:rFonts w:eastAsia="Times New Roman"/>
        </w:rPr>
      </w:pPr>
      <w:r>
        <w:rPr>
          <w:rFonts w:eastAsia="Times New Roman"/>
        </w:rPr>
        <w:t>Thank you for your reply. Just the changes covered in the slides. Just so I am clear, the Foreign Schools Audit Guide from 2020 remains unchanged?</w:t>
      </w:r>
    </w:p>
    <w:p w14:paraId="429014E1" w14:textId="77777777" w:rsidR="00000000" w:rsidRDefault="00C15827">
      <w:pPr>
        <w:divId w:val="3746636"/>
        <w:rPr>
          <w:rFonts w:eastAsia="Times New Roman"/>
        </w:rPr>
      </w:pPr>
      <w:r>
        <w:rPr>
          <w:rFonts w:eastAsia="Times New Roman"/>
          <w:b/>
          <w:bCs/>
        </w:rPr>
        <w:t>Res</w:t>
      </w:r>
      <w:r>
        <w:rPr>
          <w:rFonts w:eastAsia="Times New Roman"/>
          <w:b/>
          <w:bCs/>
        </w:rPr>
        <w:t>ponse:</w:t>
      </w:r>
      <w:r>
        <w:rPr>
          <w:rFonts w:eastAsia="Times New Roman"/>
        </w:rPr>
        <w:t xml:space="preserve"> </w:t>
      </w:r>
    </w:p>
    <w:p w14:paraId="2C7DD1D5" w14:textId="77777777" w:rsidR="00000000" w:rsidRDefault="00C15827">
      <w:pPr>
        <w:divId w:val="1651133054"/>
        <w:rPr>
          <w:rFonts w:eastAsia="Times New Roman"/>
        </w:rPr>
      </w:pPr>
      <w:r>
        <w:rPr>
          <w:rFonts w:eastAsia="Times New Roman"/>
        </w:rPr>
        <w:t>SME - Felski: Yes, the 2020 Foreign Schools Audit Guide remains in effect. However, please note that we issued several Dear CPA Letters amending some sections of the Guide.</w:t>
      </w:r>
    </w:p>
    <w:p w14:paraId="71E7A6E7" w14:textId="77777777" w:rsidR="00000000" w:rsidRDefault="00C15827">
      <w:pPr>
        <w:divId w:val="3746636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5EFAD38B" w14:textId="77777777" w:rsidR="00000000" w:rsidRDefault="00C15827">
      <w:pPr>
        <w:divId w:val="1211915234"/>
        <w:rPr>
          <w:rFonts w:eastAsia="Times New Roman"/>
        </w:rPr>
      </w:pPr>
      <w:r>
        <w:rPr>
          <w:rFonts w:eastAsia="Times New Roman"/>
        </w:rPr>
        <w:t>Thank you!</w:t>
      </w:r>
    </w:p>
    <w:p w14:paraId="57925D6D" w14:textId="77777777" w:rsidR="00000000" w:rsidRDefault="00C15827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Question:</w:t>
      </w:r>
      <w:r>
        <w:rPr>
          <w:rFonts w:eastAsia="Times New Roman"/>
        </w:rPr>
        <w:t xml:space="preserve"> </w:t>
      </w:r>
    </w:p>
    <w:p w14:paraId="251707F3" w14:textId="77777777" w:rsidR="00000000" w:rsidRDefault="00C15827">
      <w:pPr>
        <w:divId w:val="1526287327"/>
        <w:rPr>
          <w:rFonts w:eastAsia="Times New Roman"/>
        </w:rPr>
      </w:pPr>
      <w:r>
        <w:rPr>
          <w:rFonts w:eastAsia="Times New Roman"/>
        </w:rPr>
        <w:t>when do these regulations go into effect?</w:t>
      </w:r>
      <w:r>
        <w:rPr>
          <w:rFonts w:eastAsia="Times New Roman"/>
        </w:rPr>
        <w:t xml:space="preserve"> which audit?</w:t>
      </w:r>
    </w:p>
    <w:p w14:paraId="7F98B796" w14:textId="77777777" w:rsidR="00000000" w:rsidRDefault="00C15827">
      <w:pPr>
        <w:divId w:val="1488939015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20C7EC2E" w14:textId="77777777" w:rsidR="00000000" w:rsidRDefault="00C15827">
      <w:pPr>
        <w:divId w:val="1140733198"/>
        <w:rPr>
          <w:rFonts w:eastAsia="Times New Roman"/>
        </w:rPr>
      </w:pPr>
      <w:r>
        <w:rPr>
          <w:rFonts w:eastAsia="Times New Roman"/>
        </w:rPr>
        <w:t>SME Bales: If you are asking when the new audit guide is effective, it's for FY beginning January 1, 2023. So if you have a FYE of 12/31, then you're FYE 12/31/23 audit will be using this guide. If you have a 6/30/23 FYE, then your</w:t>
      </w:r>
      <w:r>
        <w:rPr>
          <w:rFonts w:eastAsia="Times New Roman"/>
        </w:rPr>
        <w:t xml:space="preserve"> first audit subject to this guide will be 6/30/24.</w:t>
      </w:r>
    </w:p>
    <w:p w14:paraId="30BC6FC3" w14:textId="77777777" w:rsidR="00000000" w:rsidRDefault="00C15827">
      <w:pPr>
        <w:rPr>
          <w:rFonts w:eastAsia="Times New Roman"/>
        </w:rPr>
      </w:pPr>
      <w:r>
        <w:rPr>
          <w:rFonts w:eastAsia="Times New Roman"/>
        </w:rPr>
        <w:lastRenderedPageBreak/>
        <w:br/>
      </w:r>
      <w:r>
        <w:rPr>
          <w:rFonts w:eastAsia="Times New Roman"/>
          <w:b/>
          <w:bCs/>
        </w:rPr>
        <w:t>Question:</w:t>
      </w:r>
      <w:r>
        <w:rPr>
          <w:rFonts w:eastAsia="Times New Roman"/>
        </w:rPr>
        <w:t xml:space="preserve"> </w:t>
      </w:r>
    </w:p>
    <w:p w14:paraId="48185784" w14:textId="77777777" w:rsidR="00000000" w:rsidRDefault="00C15827">
      <w:pPr>
        <w:divId w:val="185098148"/>
        <w:rPr>
          <w:rFonts w:eastAsia="Times New Roman"/>
        </w:rPr>
      </w:pPr>
      <w:r>
        <w:rPr>
          <w:rFonts w:eastAsia="Times New Roman"/>
        </w:rPr>
        <w:t>Does testing for SAP now include an institution proving they review their SAP policy annually and document said reviews?</w:t>
      </w:r>
    </w:p>
    <w:p w14:paraId="68E24E53" w14:textId="77777777" w:rsidR="00000000" w:rsidRDefault="00C15827">
      <w:pPr>
        <w:divId w:val="908075715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4CE3AB28" w14:textId="77777777" w:rsidR="00000000" w:rsidRDefault="00C15827">
      <w:pPr>
        <w:divId w:val="847329069"/>
        <w:rPr>
          <w:rFonts w:eastAsia="Times New Roman"/>
        </w:rPr>
      </w:pPr>
      <w:r>
        <w:rPr>
          <w:rFonts w:eastAsia="Times New Roman"/>
        </w:rPr>
        <w:t xml:space="preserve">I ask because I do not see that in the audit supplement. </w:t>
      </w:r>
    </w:p>
    <w:p w14:paraId="5529F1AD" w14:textId="77777777" w:rsidR="00000000" w:rsidRDefault="00C15827">
      <w:pPr>
        <w:divId w:val="908075715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45295303" w14:textId="77777777" w:rsidR="00000000" w:rsidRDefault="00C15827">
      <w:pPr>
        <w:divId w:val="1127429070"/>
        <w:rPr>
          <w:rFonts w:eastAsia="Times New Roman"/>
        </w:rPr>
      </w:pPr>
      <w:r>
        <w:rPr>
          <w:rFonts w:eastAsia="Times New Roman"/>
        </w:rPr>
        <w:t>SME Bales: Yes, this is still a required procedure at C.8.1.d. It was just moved into the Written Policies and Procedures section, from the Student Eligibility section.</w:t>
      </w:r>
    </w:p>
    <w:p w14:paraId="5D6279C6" w14:textId="77777777" w:rsidR="00000000" w:rsidRDefault="00C15827">
      <w:pPr>
        <w:divId w:val="908075715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25E6790C" w14:textId="77777777" w:rsidR="00000000" w:rsidRDefault="00C15827">
      <w:pPr>
        <w:divId w:val="377167089"/>
        <w:rPr>
          <w:rFonts w:eastAsia="Times New Roman"/>
        </w:rPr>
      </w:pPr>
      <w:r>
        <w:rPr>
          <w:rFonts w:eastAsia="Times New Roman"/>
        </w:rPr>
        <w:t>Where c</w:t>
      </w:r>
      <w:r>
        <w:rPr>
          <w:rFonts w:eastAsia="Times New Roman"/>
        </w:rPr>
        <w:t xml:space="preserve">an I find C.8.1.d.? And is this applicable for reviewing other policies such as R2T4 and Verification among others? </w:t>
      </w:r>
    </w:p>
    <w:p w14:paraId="15BE8C37" w14:textId="77777777" w:rsidR="00000000" w:rsidRDefault="00C15827">
      <w:pPr>
        <w:divId w:val="908075715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4A15DF10" w14:textId="77777777" w:rsidR="00000000" w:rsidRDefault="00C15827">
      <w:pPr>
        <w:divId w:val="789975069"/>
        <w:rPr>
          <w:rFonts w:eastAsia="Times New Roman"/>
        </w:rPr>
      </w:pPr>
      <w:r>
        <w:rPr>
          <w:rFonts w:eastAsia="Times New Roman"/>
        </w:rPr>
        <w:t>SME Bales: C.8.1.d refers to a section within the 2023 Title IV Audit Guide, that requires the auditor to evaluate a school's SA</w:t>
      </w:r>
      <w:r>
        <w:rPr>
          <w:rFonts w:eastAsia="Times New Roman"/>
        </w:rPr>
        <w:t>P policy. There are other requirements in C.8.1 for the auditor to evaluate the verification and LOA policies, as well as procedures for the approval, disbursement, and delivery of Title IV funds.</w:t>
      </w:r>
    </w:p>
    <w:p w14:paraId="441B54C9" w14:textId="77777777" w:rsidR="00000000" w:rsidRDefault="00C15827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Question:</w:t>
      </w:r>
      <w:r>
        <w:rPr>
          <w:rFonts w:eastAsia="Times New Roman"/>
        </w:rPr>
        <w:t xml:space="preserve"> </w:t>
      </w:r>
    </w:p>
    <w:p w14:paraId="6790730A" w14:textId="77777777" w:rsidR="00000000" w:rsidRDefault="00C15827">
      <w:pPr>
        <w:divId w:val="2081168818"/>
        <w:rPr>
          <w:rFonts w:eastAsia="Times New Roman"/>
        </w:rPr>
      </w:pPr>
      <w:r>
        <w:rPr>
          <w:rFonts w:eastAsia="Times New Roman"/>
        </w:rPr>
        <w:t>why are you saying that audits have to be submi</w:t>
      </w:r>
      <w:r>
        <w:rPr>
          <w:rFonts w:eastAsia="Times New Roman"/>
        </w:rPr>
        <w:t>tted in 6 months or 30 days from the report. Isn't in 9 months from the end of the fiscal year?</w:t>
      </w:r>
    </w:p>
    <w:p w14:paraId="2B9A4689" w14:textId="77777777" w:rsidR="00000000" w:rsidRDefault="00C15827">
      <w:pPr>
        <w:divId w:val="953288255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5890D1EE" w14:textId="77777777" w:rsidR="00000000" w:rsidRDefault="00C15827">
      <w:pPr>
        <w:divId w:val="1482961074"/>
        <w:rPr>
          <w:rFonts w:eastAsia="Times New Roman"/>
        </w:rPr>
      </w:pPr>
      <w:r>
        <w:rPr>
          <w:rFonts w:eastAsia="Times New Roman"/>
        </w:rPr>
        <w:t>SME Bales: Single audits are still due 9 months from the end of the fiscal year or 30 days from report receipt. The new rules apply to audits other t</w:t>
      </w:r>
      <w:r>
        <w:rPr>
          <w:rFonts w:eastAsia="Times New Roman"/>
        </w:rPr>
        <w:t>han single audits (propriety schools, foreign schools, third-party servicers) and their reports are due 6 months from FYE or 30 days from the report date, whichever is sooner.</w:t>
      </w:r>
    </w:p>
    <w:p w14:paraId="46D28156" w14:textId="77777777" w:rsidR="00000000" w:rsidRDefault="00C15827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Question:</w:t>
      </w:r>
      <w:r>
        <w:rPr>
          <w:rFonts w:eastAsia="Times New Roman"/>
        </w:rPr>
        <w:t xml:space="preserve"> </w:t>
      </w:r>
    </w:p>
    <w:p w14:paraId="14B88CF9" w14:textId="77777777" w:rsidR="00000000" w:rsidRDefault="00C15827">
      <w:pPr>
        <w:divId w:val="50885787"/>
        <w:rPr>
          <w:rFonts w:eastAsia="Times New Roman"/>
        </w:rPr>
      </w:pPr>
      <w:r>
        <w:rPr>
          <w:rFonts w:eastAsia="Times New Roman"/>
        </w:rPr>
        <w:t>I was unable to locate the HEERF report on the oig site. Can you pro</w:t>
      </w:r>
      <w:r>
        <w:rPr>
          <w:rFonts w:eastAsia="Times New Roman"/>
        </w:rPr>
        <w:t>vide the link where it can be accessed?</w:t>
      </w:r>
    </w:p>
    <w:p w14:paraId="0704DFF0" w14:textId="77777777" w:rsidR="00000000" w:rsidRDefault="00C15827">
      <w:pPr>
        <w:divId w:val="2010332711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610FA57F" w14:textId="77777777" w:rsidR="00000000" w:rsidRDefault="00C15827">
      <w:pPr>
        <w:divId w:val="120804670"/>
        <w:rPr>
          <w:rFonts w:eastAsia="Times New Roman"/>
        </w:rPr>
      </w:pPr>
      <w:r>
        <w:rPr>
          <w:rFonts w:eastAsia="Times New Roman"/>
        </w:rPr>
        <w:t>SME - Felski: The flash report on HEERF audit resolution activities can be found at this link https://oig.ed.gov/reports/other/us-department-educations-higher-education-emergency-relief-fund-audit-resoluti</w:t>
      </w:r>
      <w:r>
        <w:rPr>
          <w:rFonts w:eastAsia="Times New Roman"/>
        </w:rPr>
        <w:t>on. Please click on Download PDF at the top of the page to open a copy of the report.</w:t>
      </w:r>
    </w:p>
    <w:p w14:paraId="304CD287" w14:textId="77777777" w:rsidR="00000000" w:rsidRDefault="00C15827">
      <w:pPr>
        <w:divId w:val="2010332711"/>
        <w:rPr>
          <w:rFonts w:eastAsia="Times New Roman"/>
        </w:rPr>
      </w:pPr>
      <w:r>
        <w:rPr>
          <w:rFonts w:eastAsia="Times New Roman"/>
          <w:b/>
          <w:bCs/>
        </w:rPr>
        <w:t>Response:</w:t>
      </w:r>
      <w:r>
        <w:rPr>
          <w:rFonts w:eastAsia="Times New Roman"/>
        </w:rPr>
        <w:t xml:space="preserve"> </w:t>
      </w:r>
    </w:p>
    <w:p w14:paraId="0E355345" w14:textId="77777777" w:rsidR="00000000" w:rsidRDefault="00C15827">
      <w:pPr>
        <w:divId w:val="591353409"/>
        <w:rPr>
          <w:rFonts w:eastAsia="Times New Roman"/>
        </w:rPr>
      </w:pPr>
      <w:r>
        <w:rPr>
          <w:rFonts w:eastAsia="Times New Roman"/>
        </w:rPr>
        <w:t>SME - Felski: You can also go to the Reports section on OIG's website and scroll down to November 15, 2023, and click on the link for the HEERF flash report.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827"/>
    <w:rsid w:val="00C1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C4C944"/>
  <w15:chartTrackingRefBased/>
  <w15:docId w15:val="{50D8B99C-0B95-4CB6-8B24-440583D93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67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2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6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5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1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80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6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21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3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2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97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13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5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8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9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9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44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47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6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70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03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4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5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3294</Characters>
  <Application>Microsoft Office Word</Application>
  <DocSecurity>0</DocSecurity>
  <Lines>27</Lines>
  <Paragraphs>7</Paragraphs>
  <ScaleCrop>false</ScaleCrop>
  <Company>Project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FSATC Q&amp;A Archive</dc:title>
  <dc:subject/>
  <dc:creator>Cottingham, Brittney</dc:creator>
  <cp:keywords/>
  <dc:description/>
  <cp:lastModifiedBy>Cottingham, Brittney</cp:lastModifiedBy>
  <cp:revision>2</cp:revision>
  <dcterms:created xsi:type="dcterms:W3CDTF">2024-01-29T18:29:00Z</dcterms:created>
  <dcterms:modified xsi:type="dcterms:W3CDTF">2024-01-29T18:29:00Z</dcterms:modified>
</cp:coreProperties>
</file>