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94345" w14:textId="77777777" w:rsidR="00320638" w:rsidRPr="00320638" w:rsidRDefault="00320638" w:rsidP="00320638">
      <w:pPr>
        <w:widowControl/>
        <w:autoSpaceDE/>
        <w:autoSpaceDN/>
        <w:adjustRightInd/>
        <w:spacing w:after="0" w:line="240" w:lineRule="auto"/>
        <w:rPr>
          <w:b/>
          <w:bCs/>
          <w:color w:val="000000"/>
          <w:sz w:val="48"/>
          <w:szCs w:val="48"/>
        </w:rPr>
      </w:pPr>
      <w:r w:rsidRPr="00320638">
        <w:rPr>
          <w:b/>
          <w:bCs/>
          <w:color w:val="000000"/>
          <w:sz w:val="48"/>
          <w:szCs w:val="48"/>
        </w:rPr>
        <w:t>Q&amp;A BO28: Internal and External Threats Facing Title IV Institutions</w:t>
      </w:r>
    </w:p>
    <w:p w14:paraId="32C6D215"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6528276B" wp14:editId="507D168D">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AC97090"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10762E46"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45" w:type="dxa"/>
        <w:tblCellMar>
          <w:top w:w="72" w:type="dxa"/>
          <w:left w:w="72" w:type="dxa"/>
          <w:bottom w:w="72" w:type="dxa"/>
          <w:right w:w="72" w:type="dxa"/>
        </w:tblCellMar>
        <w:tblLook w:val="0620" w:firstRow="1" w:lastRow="0" w:firstColumn="0" w:lastColumn="0" w:noHBand="1" w:noVBand="1"/>
      </w:tblPr>
      <w:tblGrid>
        <w:gridCol w:w="1891"/>
        <w:gridCol w:w="7554"/>
      </w:tblGrid>
      <w:tr w:rsidR="00EC39F1" w14:paraId="1294B158" w14:textId="77777777" w:rsidTr="00320638">
        <w:tc>
          <w:tcPr>
            <w:tcW w:w="1891" w:type="dxa"/>
          </w:tcPr>
          <w:p w14:paraId="20D9E137" w14:textId="77777777" w:rsidR="00EC39F1" w:rsidRDefault="002D0584" w:rsidP="00F035E8">
            <w:pPr>
              <w:pStyle w:val="TableColumnHead"/>
            </w:pPr>
            <w:r>
              <w:t>Question</w:t>
            </w:r>
          </w:p>
        </w:tc>
        <w:tc>
          <w:tcPr>
            <w:tcW w:w="7554" w:type="dxa"/>
          </w:tcPr>
          <w:p w14:paraId="61A1ADC8" w14:textId="77777777" w:rsidR="00EC39F1" w:rsidRDefault="002D0584" w:rsidP="00F035E8">
            <w:pPr>
              <w:pStyle w:val="TableColumnHead"/>
            </w:pPr>
            <w:r>
              <w:t>Response</w:t>
            </w:r>
          </w:p>
        </w:tc>
      </w:tr>
      <w:tr w:rsidR="00320638" w:rsidRPr="00320638" w14:paraId="2DDB68F9" w14:textId="77777777" w:rsidTr="00320638">
        <w:tblPrEx>
          <w:tblCellMar>
            <w:top w:w="0" w:type="dxa"/>
            <w:left w:w="108" w:type="dxa"/>
            <w:bottom w:w="0" w:type="dxa"/>
            <w:right w:w="108" w:type="dxa"/>
          </w:tblCellMar>
          <w:tblLook w:val="04A0" w:firstRow="1" w:lastRow="0" w:firstColumn="1" w:lastColumn="0" w:noHBand="0" w:noVBand="1"/>
        </w:tblPrEx>
        <w:trPr>
          <w:trHeight w:val="1575"/>
        </w:trPr>
        <w:tc>
          <w:tcPr>
            <w:tcW w:w="1891" w:type="dxa"/>
            <w:hideMark/>
          </w:tcPr>
          <w:p w14:paraId="7E22161F" w14:textId="77777777" w:rsidR="00320638" w:rsidRPr="00320638" w:rsidRDefault="00320638" w:rsidP="00320638">
            <w:pPr>
              <w:widowControl/>
              <w:autoSpaceDE/>
              <w:autoSpaceDN/>
              <w:adjustRightInd/>
              <w:spacing w:after="0" w:line="240" w:lineRule="auto"/>
              <w:rPr>
                <w:color w:val="000000"/>
              </w:rPr>
            </w:pPr>
            <w:r w:rsidRPr="00320638">
              <w:rPr>
                <w:color w:val="000000"/>
              </w:rPr>
              <w:t>How do I stay up to date with all the ED OIG News?</w:t>
            </w:r>
          </w:p>
        </w:tc>
        <w:tc>
          <w:tcPr>
            <w:tcW w:w="7554" w:type="dxa"/>
            <w:hideMark/>
          </w:tcPr>
          <w:p w14:paraId="7CB7AFAD" w14:textId="77777777" w:rsidR="00320638" w:rsidRPr="00320638" w:rsidRDefault="00320638" w:rsidP="00320638">
            <w:pPr>
              <w:widowControl/>
              <w:autoSpaceDE/>
              <w:autoSpaceDN/>
              <w:adjustRightInd/>
              <w:spacing w:after="0" w:line="240" w:lineRule="auto"/>
              <w:rPr>
                <w:color w:val="000000"/>
              </w:rPr>
            </w:pPr>
            <w:r w:rsidRPr="00320638">
              <w:rPr>
                <w:color w:val="000000"/>
              </w:rPr>
              <w:t>If fraud is suspected, the loan servicer should contact the OIG. Here is a list of local ED OIG contacts: https://www2.ed.gov/about/offices/list/oig/oigaddresses.html</w:t>
            </w:r>
          </w:p>
        </w:tc>
      </w:tr>
      <w:tr w:rsidR="00320638" w:rsidRPr="00320638" w14:paraId="54ADCF4B" w14:textId="77777777" w:rsidTr="00320638">
        <w:tblPrEx>
          <w:tblCellMar>
            <w:top w:w="0" w:type="dxa"/>
            <w:left w:w="108" w:type="dxa"/>
            <w:bottom w:w="0" w:type="dxa"/>
            <w:right w:w="108" w:type="dxa"/>
          </w:tblCellMar>
          <w:tblLook w:val="04A0" w:firstRow="1" w:lastRow="0" w:firstColumn="1" w:lastColumn="0" w:noHBand="0" w:noVBand="1"/>
        </w:tblPrEx>
        <w:trPr>
          <w:trHeight w:val="1785"/>
        </w:trPr>
        <w:tc>
          <w:tcPr>
            <w:tcW w:w="1891" w:type="dxa"/>
            <w:hideMark/>
          </w:tcPr>
          <w:p w14:paraId="5556EC4D" w14:textId="77777777" w:rsidR="00320638" w:rsidRPr="00320638" w:rsidRDefault="00320638" w:rsidP="00320638">
            <w:pPr>
              <w:widowControl/>
              <w:autoSpaceDE/>
              <w:autoSpaceDN/>
              <w:adjustRightInd/>
              <w:spacing w:after="0" w:line="240" w:lineRule="auto"/>
              <w:rPr>
                <w:color w:val="000000"/>
              </w:rPr>
            </w:pPr>
            <w:r w:rsidRPr="00320638">
              <w:rPr>
                <w:color w:val="000000"/>
              </w:rPr>
              <w:t>Can you do a presentation for our staff, association, etc.?</w:t>
            </w:r>
          </w:p>
        </w:tc>
        <w:tc>
          <w:tcPr>
            <w:tcW w:w="7554" w:type="dxa"/>
            <w:hideMark/>
          </w:tcPr>
          <w:p w14:paraId="02B429A2" w14:textId="77777777" w:rsidR="00320638" w:rsidRPr="00320638" w:rsidRDefault="00320638" w:rsidP="00320638">
            <w:pPr>
              <w:widowControl/>
              <w:autoSpaceDE/>
              <w:autoSpaceDN/>
              <w:adjustRightInd/>
              <w:spacing w:after="0" w:line="240" w:lineRule="auto"/>
              <w:rPr>
                <w:color w:val="000000"/>
              </w:rPr>
            </w:pPr>
            <w:r w:rsidRPr="00320638">
              <w:rPr>
                <w:color w:val="000000"/>
              </w:rPr>
              <w:t>We have provided presentations in the past, but you would have to contact the local OIG office to coordinate that.  https://www2.ed.gov/about/offices/list/oig/oigaddresses.htmlYou may also visit our website to access fraud prevention materials for your staff. https://www2.ed.gov/about/offices/list/oig/newsroom.html#brochures</w:t>
            </w:r>
          </w:p>
        </w:tc>
      </w:tr>
      <w:tr w:rsidR="00320638" w:rsidRPr="00320638" w14:paraId="17EFA526" w14:textId="77777777" w:rsidTr="00320638">
        <w:tblPrEx>
          <w:tblCellMar>
            <w:top w:w="0" w:type="dxa"/>
            <w:left w:w="108" w:type="dxa"/>
            <w:bottom w:w="0" w:type="dxa"/>
            <w:right w:w="108" w:type="dxa"/>
          </w:tblCellMar>
          <w:tblLook w:val="04A0" w:firstRow="1" w:lastRow="0" w:firstColumn="1" w:lastColumn="0" w:noHBand="0" w:noVBand="1"/>
        </w:tblPrEx>
        <w:trPr>
          <w:trHeight w:val="765"/>
        </w:trPr>
        <w:tc>
          <w:tcPr>
            <w:tcW w:w="1891" w:type="dxa"/>
            <w:hideMark/>
          </w:tcPr>
          <w:p w14:paraId="2AF646DE" w14:textId="77777777" w:rsidR="00320638" w:rsidRPr="00320638" w:rsidRDefault="00320638" w:rsidP="00320638">
            <w:pPr>
              <w:widowControl/>
              <w:autoSpaceDE/>
              <w:autoSpaceDN/>
              <w:adjustRightInd/>
              <w:spacing w:after="0" w:line="240" w:lineRule="auto"/>
              <w:rPr>
                <w:color w:val="000000"/>
              </w:rPr>
            </w:pPr>
            <w:r w:rsidRPr="00320638">
              <w:rPr>
                <w:color w:val="000000"/>
              </w:rPr>
              <w:t>Can a federal loan servicer investigate a case of fraud claimed by a borrower, or should that be referred to the OIG?</w:t>
            </w:r>
          </w:p>
        </w:tc>
        <w:tc>
          <w:tcPr>
            <w:tcW w:w="7554" w:type="dxa"/>
            <w:hideMark/>
          </w:tcPr>
          <w:p w14:paraId="45097C3A" w14:textId="77777777" w:rsidR="00320638" w:rsidRPr="00320638" w:rsidRDefault="00320638" w:rsidP="00320638">
            <w:pPr>
              <w:widowControl/>
              <w:autoSpaceDE/>
              <w:autoSpaceDN/>
              <w:adjustRightInd/>
              <w:spacing w:after="0" w:line="240" w:lineRule="auto"/>
              <w:rPr>
                <w:color w:val="000000"/>
              </w:rPr>
            </w:pPr>
            <w:r w:rsidRPr="00320638">
              <w:rPr>
                <w:color w:val="000000"/>
              </w:rPr>
              <w:t>If you suspect fraud, please contact one of our local OIG offices to discuss.</w:t>
            </w:r>
            <w:r w:rsidRPr="00320638">
              <w:rPr>
                <w:color w:val="000000"/>
              </w:rPr>
              <w:br/>
              <w:t>https://www2.ed.gov/about/offices/list/oig/oigaddresses.html</w:t>
            </w:r>
          </w:p>
        </w:tc>
      </w:tr>
      <w:tr w:rsidR="00320638" w:rsidRPr="00320638" w14:paraId="3C6FBCAD" w14:textId="77777777" w:rsidTr="00320638">
        <w:tblPrEx>
          <w:tblCellMar>
            <w:top w:w="0" w:type="dxa"/>
            <w:left w:w="108" w:type="dxa"/>
            <w:bottom w:w="0" w:type="dxa"/>
            <w:right w:w="108" w:type="dxa"/>
          </w:tblCellMar>
          <w:tblLook w:val="04A0" w:firstRow="1" w:lastRow="0" w:firstColumn="1" w:lastColumn="0" w:noHBand="0" w:noVBand="1"/>
        </w:tblPrEx>
        <w:trPr>
          <w:trHeight w:val="1530"/>
        </w:trPr>
        <w:tc>
          <w:tcPr>
            <w:tcW w:w="1891" w:type="dxa"/>
            <w:hideMark/>
          </w:tcPr>
          <w:p w14:paraId="5F9F61BE" w14:textId="77777777" w:rsidR="00320638" w:rsidRPr="00320638" w:rsidRDefault="00320638" w:rsidP="00320638">
            <w:pPr>
              <w:widowControl/>
              <w:autoSpaceDE/>
              <w:autoSpaceDN/>
              <w:adjustRightInd/>
              <w:spacing w:after="0" w:line="240" w:lineRule="auto"/>
              <w:rPr>
                <w:color w:val="000000"/>
              </w:rPr>
            </w:pPr>
            <w:r w:rsidRPr="00320638">
              <w:rPr>
                <w:color w:val="000000"/>
              </w:rPr>
              <w:t>About three years ago, my college in Georgia worked with a GED student whose Name and SSN had been used to file a FAFSA and receive funds at a college in California.  The student never received resolution after submitting requested information to the Department of Education.</w:t>
            </w:r>
          </w:p>
        </w:tc>
        <w:tc>
          <w:tcPr>
            <w:tcW w:w="7554" w:type="dxa"/>
            <w:hideMark/>
          </w:tcPr>
          <w:p w14:paraId="0075A60C" w14:textId="77777777" w:rsidR="00320638" w:rsidRPr="00320638" w:rsidRDefault="00320638" w:rsidP="00320638">
            <w:pPr>
              <w:widowControl/>
              <w:autoSpaceDE/>
              <w:autoSpaceDN/>
              <w:adjustRightInd/>
              <w:spacing w:after="0" w:line="240" w:lineRule="auto"/>
              <w:rPr>
                <w:color w:val="000000"/>
              </w:rPr>
            </w:pPr>
            <w:r w:rsidRPr="00320638">
              <w:rPr>
                <w:color w:val="000000"/>
              </w:rPr>
              <w:t>I am very sorry to hear that. Our hotline receives 200-300 complaints per month. Last year, we received over 3200! Please know that we do review every complaint or allegation of fraud we receive.  If you have questions regarding a particular complaint, please contact the local OIG office.  https://www2.ed.gov/about/offices/list/oig/oigaddresses.html</w:t>
            </w:r>
          </w:p>
        </w:tc>
      </w:tr>
      <w:tr w:rsidR="00320638" w:rsidRPr="00320638" w14:paraId="1B017E90" w14:textId="77777777" w:rsidTr="00320638">
        <w:tblPrEx>
          <w:tblCellMar>
            <w:top w:w="0" w:type="dxa"/>
            <w:left w:w="108" w:type="dxa"/>
            <w:bottom w:w="0" w:type="dxa"/>
            <w:right w:w="108" w:type="dxa"/>
          </w:tblCellMar>
          <w:tblLook w:val="04A0" w:firstRow="1" w:lastRow="0" w:firstColumn="1" w:lastColumn="0" w:noHBand="0" w:noVBand="1"/>
        </w:tblPrEx>
        <w:trPr>
          <w:trHeight w:val="1785"/>
        </w:trPr>
        <w:tc>
          <w:tcPr>
            <w:tcW w:w="1891" w:type="dxa"/>
            <w:hideMark/>
          </w:tcPr>
          <w:p w14:paraId="25A61A08" w14:textId="77777777" w:rsidR="00320638" w:rsidRPr="00320638" w:rsidRDefault="00320638" w:rsidP="00320638">
            <w:pPr>
              <w:widowControl/>
              <w:autoSpaceDE/>
              <w:autoSpaceDN/>
              <w:adjustRightInd/>
              <w:spacing w:after="0" w:line="240" w:lineRule="auto"/>
              <w:rPr>
                <w:color w:val="000000"/>
              </w:rPr>
            </w:pPr>
            <w:r w:rsidRPr="00320638">
              <w:rPr>
                <w:color w:val="000000"/>
              </w:rPr>
              <w:lastRenderedPageBreak/>
              <w:t xml:space="preserve">Is school hopping an indication of fraud? </w:t>
            </w:r>
            <w:proofErr w:type="gramStart"/>
            <w:r w:rsidRPr="00320638">
              <w:rPr>
                <w:color w:val="000000"/>
              </w:rPr>
              <w:t>i.e.</w:t>
            </w:r>
            <w:proofErr w:type="gramEnd"/>
            <w:r w:rsidRPr="00320638">
              <w:rPr>
                <w:color w:val="000000"/>
              </w:rPr>
              <w:t xml:space="preserve"> student borrowing at multiple schools for multiple degrees beyond ability to pay.</w:t>
            </w:r>
          </w:p>
        </w:tc>
        <w:tc>
          <w:tcPr>
            <w:tcW w:w="7554" w:type="dxa"/>
            <w:hideMark/>
          </w:tcPr>
          <w:p w14:paraId="70417A66" w14:textId="77777777" w:rsidR="00320638" w:rsidRPr="00320638" w:rsidRDefault="00320638" w:rsidP="00320638">
            <w:pPr>
              <w:widowControl/>
              <w:autoSpaceDE/>
              <w:autoSpaceDN/>
              <w:adjustRightInd/>
              <w:spacing w:after="0" w:line="240" w:lineRule="auto"/>
              <w:rPr>
                <w:color w:val="000000"/>
              </w:rPr>
            </w:pPr>
            <w:r w:rsidRPr="00320638">
              <w:rPr>
                <w:color w:val="000000"/>
              </w:rPr>
              <w:t>This is a great question. It could be an indicator of fraud. Here is a link to some fraud indicators: https://www2.ed.gov/about/offices/list/oig/invtreports/edoigfraudIndicatorsonline.pdf</w:t>
            </w:r>
            <w:r w:rsidRPr="00320638">
              <w:rPr>
                <w:color w:val="000000"/>
              </w:rPr>
              <w:br/>
              <w:t>Please contact the OIG to discuss the issue in greater detail. Here is a link to our offices:</w:t>
            </w:r>
            <w:r w:rsidRPr="00320638">
              <w:rPr>
                <w:color w:val="000000"/>
              </w:rPr>
              <w:br/>
              <w:t>https://www2.ed.gov/about/offices/list/oig/oigaddresses.html</w:t>
            </w:r>
          </w:p>
        </w:tc>
      </w:tr>
      <w:tr w:rsidR="00320638" w:rsidRPr="00320638" w14:paraId="3EBAD63B" w14:textId="77777777" w:rsidTr="00320638">
        <w:tblPrEx>
          <w:tblCellMar>
            <w:top w:w="0" w:type="dxa"/>
            <w:left w:w="108" w:type="dxa"/>
            <w:bottom w:w="0" w:type="dxa"/>
            <w:right w:w="108" w:type="dxa"/>
          </w:tblCellMar>
          <w:tblLook w:val="04A0" w:firstRow="1" w:lastRow="0" w:firstColumn="1" w:lastColumn="0" w:noHBand="0" w:noVBand="1"/>
        </w:tblPrEx>
        <w:trPr>
          <w:trHeight w:val="1785"/>
        </w:trPr>
        <w:tc>
          <w:tcPr>
            <w:tcW w:w="1891" w:type="dxa"/>
            <w:hideMark/>
          </w:tcPr>
          <w:p w14:paraId="2361162F" w14:textId="77777777" w:rsidR="00320638" w:rsidRPr="00320638" w:rsidRDefault="00320638" w:rsidP="00320638">
            <w:pPr>
              <w:widowControl/>
              <w:autoSpaceDE/>
              <w:autoSpaceDN/>
              <w:adjustRightInd/>
              <w:spacing w:after="0" w:line="240" w:lineRule="auto"/>
              <w:rPr>
                <w:color w:val="000000"/>
              </w:rPr>
            </w:pPr>
            <w:r w:rsidRPr="00320638">
              <w:rPr>
                <w:color w:val="000000"/>
              </w:rPr>
              <w:t>Great presentation!</w:t>
            </w:r>
          </w:p>
        </w:tc>
        <w:tc>
          <w:tcPr>
            <w:tcW w:w="7554" w:type="dxa"/>
            <w:hideMark/>
          </w:tcPr>
          <w:p w14:paraId="5E9CC192" w14:textId="77777777" w:rsidR="00320638" w:rsidRPr="00320638" w:rsidRDefault="00320638" w:rsidP="00320638">
            <w:pPr>
              <w:widowControl/>
              <w:autoSpaceDE/>
              <w:autoSpaceDN/>
              <w:adjustRightInd/>
              <w:spacing w:after="0" w:line="240" w:lineRule="auto"/>
              <w:rPr>
                <w:color w:val="000000"/>
              </w:rPr>
            </w:pPr>
            <w:r w:rsidRPr="00320638">
              <w:rPr>
                <w:color w:val="000000"/>
              </w:rPr>
              <w:t>Thank you for joining us!  Remember to share this presentation with others!  And be sure to visit our website for additional information on how to mitigate fraud risks in our precious programs. Also check out our fraud prevention materials on our website. https://www2.ed.gov/about/offices/list/oig/newsroom.html#brochures</w:t>
            </w:r>
          </w:p>
        </w:tc>
      </w:tr>
      <w:tr w:rsidR="00320638" w:rsidRPr="00320638" w14:paraId="3A5F5689" w14:textId="77777777" w:rsidTr="00320638">
        <w:tblPrEx>
          <w:tblCellMar>
            <w:top w:w="0" w:type="dxa"/>
            <w:left w:w="108" w:type="dxa"/>
            <w:bottom w:w="0" w:type="dxa"/>
            <w:right w:w="108" w:type="dxa"/>
          </w:tblCellMar>
          <w:tblLook w:val="04A0" w:firstRow="1" w:lastRow="0" w:firstColumn="1" w:lastColumn="0" w:noHBand="0" w:noVBand="1"/>
        </w:tblPrEx>
        <w:trPr>
          <w:trHeight w:val="1530"/>
        </w:trPr>
        <w:tc>
          <w:tcPr>
            <w:tcW w:w="1891" w:type="dxa"/>
            <w:hideMark/>
          </w:tcPr>
          <w:p w14:paraId="20B96742" w14:textId="77777777" w:rsidR="00320638" w:rsidRPr="00320638" w:rsidRDefault="00320638" w:rsidP="00320638">
            <w:pPr>
              <w:widowControl/>
              <w:autoSpaceDE/>
              <w:autoSpaceDN/>
              <w:adjustRightInd/>
              <w:spacing w:after="0" w:line="240" w:lineRule="auto"/>
              <w:rPr>
                <w:color w:val="000000"/>
              </w:rPr>
            </w:pPr>
            <w:r w:rsidRPr="00320638">
              <w:rPr>
                <w:color w:val="000000"/>
              </w:rPr>
              <w:t>Is there an approved list of loan servicers that can request information pertaining to identity theft? Or should those inquiries only come from OIG?</w:t>
            </w:r>
          </w:p>
        </w:tc>
        <w:tc>
          <w:tcPr>
            <w:tcW w:w="7554" w:type="dxa"/>
            <w:hideMark/>
          </w:tcPr>
          <w:p w14:paraId="03BB0FF2" w14:textId="77777777" w:rsidR="00320638" w:rsidRPr="00320638" w:rsidRDefault="00320638" w:rsidP="00320638">
            <w:pPr>
              <w:widowControl/>
              <w:autoSpaceDE/>
              <w:autoSpaceDN/>
              <w:adjustRightInd/>
              <w:spacing w:after="0" w:line="240" w:lineRule="auto"/>
              <w:rPr>
                <w:color w:val="000000"/>
              </w:rPr>
            </w:pPr>
            <w:r w:rsidRPr="00320638">
              <w:rPr>
                <w:color w:val="000000"/>
              </w:rPr>
              <w:t>If you receive a request from a loan servicer for information pertaining to identity theft and you are not sure of its legitimacy, you can always reach out to the local ED OIG office to inquire. We may be able to help you navigate your concerns.</w:t>
            </w:r>
          </w:p>
        </w:tc>
      </w:tr>
      <w:tr w:rsidR="00320638" w:rsidRPr="00320638" w14:paraId="7B9569D1" w14:textId="77777777" w:rsidTr="00320638">
        <w:tblPrEx>
          <w:tblCellMar>
            <w:top w:w="0" w:type="dxa"/>
            <w:left w:w="108" w:type="dxa"/>
            <w:bottom w:w="0" w:type="dxa"/>
            <w:right w:w="108" w:type="dxa"/>
          </w:tblCellMar>
          <w:tblLook w:val="04A0" w:firstRow="1" w:lastRow="0" w:firstColumn="1" w:lastColumn="0" w:noHBand="0" w:noVBand="1"/>
        </w:tblPrEx>
        <w:trPr>
          <w:trHeight w:val="765"/>
        </w:trPr>
        <w:tc>
          <w:tcPr>
            <w:tcW w:w="1891" w:type="dxa"/>
            <w:hideMark/>
          </w:tcPr>
          <w:p w14:paraId="76879245" w14:textId="77777777" w:rsidR="00320638" w:rsidRPr="00320638" w:rsidRDefault="00320638" w:rsidP="00320638">
            <w:pPr>
              <w:widowControl/>
              <w:autoSpaceDE/>
              <w:autoSpaceDN/>
              <w:adjustRightInd/>
              <w:spacing w:after="0" w:line="240" w:lineRule="auto"/>
              <w:rPr>
                <w:color w:val="000000"/>
              </w:rPr>
            </w:pPr>
            <w:r w:rsidRPr="00320638">
              <w:rPr>
                <w:color w:val="000000"/>
              </w:rPr>
              <w:t>Where can I find a copy of this Power Point?</w:t>
            </w:r>
          </w:p>
        </w:tc>
        <w:tc>
          <w:tcPr>
            <w:tcW w:w="7554" w:type="dxa"/>
            <w:hideMark/>
          </w:tcPr>
          <w:p w14:paraId="4A034C5D" w14:textId="77777777" w:rsidR="00320638" w:rsidRPr="00320638" w:rsidRDefault="00320638" w:rsidP="00320638">
            <w:pPr>
              <w:widowControl/>
              <w:autoSpaceDE/>
              <w:autoSpaceDN/>
              <w:adjustRightInd/>
              <w:spacing w:after="0" w:line="240" w:lineRule="auto"/>
              <w:rPr>
                <w:color w:val="000000"/>
              </w:rPr>
            </w:pPr>
            <w:r w:rsidRPr="00320638">
              <w:rPr>
                <w:color w:val="000000"/>
              </w:rPr>
              <w:t xml:space="preserve">Via the Conference Platform, please click on "My Agenda" where you may download the PowerPoint and view the recording.  </w:t>
            </w:r>
          </w:p>
        </w:tc>
      </w:tr>
      <w:tr w:rsidR="00320638" w:rsidRPr="00320638" w14:paraId="731482D2" w14:textId="77777777" w:rsidTr="00320638">
        <w:tblPrEx>
          <w:tblCellMar>
            <w:top w:w="0" w:type="dxa"/>
            <w:left w:w="108" w:type="dxa"/>
            <w:bottom w:w="0" w:type="dxa"/>
            <w:right w:w="108" w:type="dxa"/>
          </w:tblCellMar>
          <w:tblLook w:val="04A0" w:firstRow="1" w:lastRow="0" w:firstColumn="1" w:lastColumn="0" w:noHBand="0" w:noVBand="1"/>
        </w:tblPrEx>
        <w:trPr>
          <w:trHeight w:val="765"/>
        </w:trPr>
        <w:tc>
          <w:tcPr>
            <w:tcW w:w="1891" w:type="dxa"/>
            <w:hideMark/>
          </w:tcPr>
          <w:p w14:paraId="2E09758E" w14:textId="77777777" w:rsidR="00320638" w:rsidRPr="00320638" w:rsidRDefault="00320638" w:rsidP="00320638">
            <w:pPr>
              <w:widowControl/>
              <w:autoSpaceDE/>
              <w:autoSpaceDN/>
              <w:adjustRightInd/>
              <w:spacing w:after="0" w:line="240" w:lineRule="auto"/>
              <w:rPr>
                <w:color w:val="000000"/>
              </w:rPr>
            </w:pPr>
            <w:r w:rsidRPr="00320638">
              <w:rPr>
                <w:color w:val="000000"/>
              </w:rPr>
              <w:t>Regards from PR... Mr. Robert Wolf still in the OIG in PR?</w:t>
            </w:r>
          </w:p>
        </w:tc>
        <w:tc>
          <w:tcPr>
            <w:tcW w:w="7554" w:type="dxa"/>
            <w:hideMark/>
          </w:tcPr>
          <w:p w14:paraId="3BEFA187" w14:textId="77777777" w:rsidR="00320638" w:rsidRPr="00320638" w:rsidRDefault="00320638" w:rsidP="00320638">
            <w:pPr>
              <w:widowControl/>
              <w:autoSpaceDE/>
              <w:autoSpaceDN/>
              <w:adjustRightInd/>
              <w:spacing w:after="0" w:line="240" w:lineRule="auto"/>
              <w:rPr>
                <w:color w:val="000000"/>
              </w:rPr>
            </w:pPr>
            <w:r w:rsidRPr="00320638">
              <w:rPr>
                <w:color w:val="000000"/>
              </w:rPr>
              <w:t xml:space="preserve">Good afternoon! This local OIG contact list will answer your question. </w:t>
            </w:r>
            <w:r w:rsidRPr="00320638">
              <w:rPr>
                <w:color w:val="000000"/>
              </w:rPr>
              <w:br/>
              <w:t>https://www2.ed.gov/about/offices/list/oig/oigaddresses.html</w:t>
            </w:r>
          </w:p>
        </w:tc>
      </w:tr>
      <w:tr w:rsidR="00320638" w:rsidRPr="00320638" w14:paraId="65EA8C34" w14:textId="77777777" w:rsidTr="00320638">
        <w:tblPrEx>
          <w:tblCellMar>
            <w:top w:w="0" w:type="dxa"/>
            <w:left w:w="108" w:type="dxa"/>
            <w:bottom w:w="0" w:type="dxa"/>
            <w:right w:w="108" w:type="dxa"/>
          </w:tblCellMar>
          <w:tblLook w:val="04A0" w:firstRow="1" w:lastRow="0" w:firstColumn="1" w:lastColumn="0" w:noHBand="0" w:noVBand="1"/>
        </w:tblPrEx>
        <w:trPr>
          <w:trHeight w:val="1530"/>
        </w:trPr>
        <w:tc>
          <w:tcPr>
            <w:tcW w:w="1891" w:type="dxa"/>
            <w:hideMark/>
          </w:tcPr>
          <w:p w14:paraId="74EB96C4" w14:textId="77777777" w:rsidR="00320638" w:rsidRPr="00320638" w:rsidRDefault="00320638" w:rsidP="00320638">
            <w:pPr>
              <w:widowControl/>
              <w:autoSpaceDE/>
              <w:autoSpaceDN/>
              <w:adjustRightInd/>
              <w:spacing w:after="0" w:line="240" w:lineRule="auto"/>
              <w:rPr>
                <w:color w:val="000000"/>
              </w:rPr>
            </w:pPr>
            <w:r w:rsidRPr="00320638">
              <w:rPr>
                <w:color w:val="000000"/>
              </w:rPr>
              <w:t xml:space="preserve">Dependent students are getting a hold of their parent's FSA ID and submitting PPL's. Not sure how </w:t>
            </w:r>
            <w:proofErr w:type="spellStart"/>
            <w:proofErr w:type="gramStart"/>
            <w:r w:rsidRPr="00320638">
              <w:rPr>
                <w:color w:val="000000"/>
              </w:rPr>
              <w:t>parent's</w:t>
            </w:r>
            <w:proofErr w:type="spellEnd"/>
            <w:proofErr w:type="gramEnd"/>
            <w:r w:rsidRPr="00320638">
              <w:rPr>
                <w:color w:val="000000"/>
              </w:rPr>
              <w:t xml:space="preserve"> are not notified since their emails are attached to their FSA ID, but somehow parents don't know they took out that loan for their student. How can we determine if it's the parent?</w:t>
            </w:r>
          </w:p>
        </w:tc>
        <w:tc>
          <w:tcPr>
            <w:tcW w:w="7554" w:type="dxa"/>
            <w:hideMark/>
          </w:tcPr>
          <w:p w14:paraId="0D03CD60" w14:textId="77777777" w:rsidR="00320638" w:rsidRPr="00320638" w:rsidRDefault="00320638" w:rsidP="00320638">
            <w:pPr>
              <w:widowControl/>
              <w:autoSpaceDE/>
              <w:autoSpaceDN/>
              <w:adjustRightInd/>
              <w:spacing w:after="0" w:line="240" w:lineRule="auto"/>
              <w:rPr>
                <w:color w:val="000000"/>
              </w:rPr>
            </w:pPr>
            <w:r w:rsidRPr="00320638">
              <w:rPr>
                <w:color w:val="000000"/>
              </w:rPr>
              <w:t>We'd love to help you identify strategies to make proper determinations on loans.  Please contact your local OIG office to discuss further. Here is the link: https://www2.ed.gov/about/offices/list/oig/oigaddresses.html</w:t>
            </w:r>
          </w:p>
        </w:tc>
      </w:tr>
      <w:tr w:rsidR="00320638" w:rsidRPr="00320638" w14:paraId="68692FEA" w14:textId="77777777" w:rsidTr="00320638">
        <w:tblPrEx>
          <w:tblCellMar>
            <w:top w:w="0" w:type="dxa"/>
            <w:left w:w="108" w:type="dxa"/>
            <w:bottom w:w="0" w:type="dxa"/>
            <w:right w:w="108" w:type="dxa"/>
          </w:tblCellMar>
          <w:tblLook w:val="04A0" w:firstRow="1" w:lastRow="0" w:firstColumn="1" w:lastColumn="0" w:noHBand="0" w:noVBand="1"/>
        </w:tblPrEx>
        <w:trPr>
          <w:trHeight w:val="2040"/>
        </w:trPr>
        <w:tc>
          <w:tcPr>
            <w:tcW w:w="1891" w:type="dxa"/>
            <w:hideMark/>
          </w:tcPr>
          <w:p w14:paraId="721186CC" w14:textId="77777777" w:rsidR="00320638" w:rsidRPr="00320638" w:rsidRDefault="00320638" w:rsidP="00320638">
            <w:pPr>
              <w:widowControl/>
              <w:autoSpaceDE/>
              <w:autoSpaceDN/>
              <w:adjustRightInd/>
              <w:spacing w:after="0" w:line="240" w:lineRule="auto"/>
              <w:rPr>
                <w:color w:val="000000"/>
              </w:rPr>
            </w:pPr>
            <w:r w:rsidRPr="00320638">
              <w:rPr>
                <w:color w:val="000000"/>
              </w:rPr>
              <w:t>This has been the best presentation I've watched.  Thank you!</w:t>
            </w:r>
          </w:p>
        </w:tc>
        <w:tc>
          <w:tcPr>
            <w:tcW w:w="7554" w:type="dxa"/>
            <w:hideMark/>
          </w:tcPr>
          <w:p w14:paraId="256D2D22" w14:textId="77777777" w:rsidR="00320638" w:rsidRPr="00320638" w:rsidRDefault="00320638" w:rsidP="00320638">
            <w:pPr>
              <w:widowControl/>
              <w:autoSpaceDE/>
              <w:autoSpaceDN/>
              <w:adjustRightInd/>
              <w:spacing w:after="0" w:line="240" w:lineRule="auto"/>
              <w:rPr>
                <w:color w:val="000000"/>
              </w:rPr>
            </w:pPr>
            <w:r w:rsidRPr="00320638">
              <w:rPr>
                <w:color w:val="000000"/>
              </w:rPr>
              <w:t>We appreciate the work the Financial Aid Community does every day.  Please remember to visit our website for further information about the CARES Act. You may also download a free poster that can help you identify and report CARES Act fraud to the OIG Hotline. https://www2.ed.gov/about/offices/list/oig/oig006caresactposter02.pdf  https://www2.ed.gov/about/offices/list/oig/hotline.html?src=rt</w:t>
            </w:r>
          </w:p>
        </w:tc>
      </w:tr>
      <w:tr w:rsidR="00320638" w:rsidRPr="00320638" w14:paraId="37DAF1C0" w14:textId="77777777" w:rsidTr="00320638">
        <w:tblPrEx>
          <w:tblCellMar>
            <w:top w:w="0" w:type="dxa"/>
            <w:left w:w="108" w:type="dxa"/>
            <w:bottom w:w="0" w:type="dxa"/>
            <w:right w:w="108" w:type="dxa"/>
          </w:tblCellMar>
          <w:tblLook w:val="04A0" w:firstRow="1" w:lastRow="0" w:firstColumn="1" w:lastColumn="0" w:noHBand="0" w:noVBand="1"/>
        </w:tblPrEx>
        <w:trPr>
          <w:trHeight w:val="1785"/>
        </w:trPr>
        <w:tc>
          <w:tcPr>
            <w:tcW w:w="1891" w:type="dxa"/>
            <w:hideMark/>
          </w:tcPr>
          <w:p w14:paraId="2660178D" w14:textId="77777777" w:rsidR="00320638" w:rsidRPr="00320638" w:rsidRDefault="00320638" w:rsidP="00320638">
            <w:pPr>
              <w:widowControl/>
              <w:autoSpaceDE/>
              <w:autoSpaceDN/>
              <w:adjustRightInd/>
              <w:spacing w:after="0" w:line="240" w:lineRule="auto"/>
              <w:rPr>
                <w:color w:val="000000"/>
              </w:rPr>
            </w:pPr>
            <w:r w:rsidRPr="00320638">
              <w:rPr>
                <w:color w:val="000000"/>
              </w:rPr>
              <w:lastRenderedPageBreak/>
              <w:t>What do you do with Suspicious Activity reports submitted from FSA?</w:t>
            </w:r>
          </w:p>
        </w:tc>
        <w:tc>
          <w:tcPr>
            <w:tcW w:w="7554" w:type="dxa"/>
            <w:hideMark/>
          </w:tcPr>
          <w:p w14:paraId="4F743325" w14:textId="77777777" w:rsidR="00320638" w:rsidRPr="00320638" w:rsidRDefault="00320638" w:rsidP="00320638">
            <w:pPr>
              <w:widowControl/>
              <w:autoSpaceDE/>
              <w:autoSpaceDN/>
              <w:adjustRightInd/>
              <w:spacing w:after="0" w:line="240" w:lineRule="auto"/>
              <w:rPr>
                <w:color w:val="000000"/>
              </w:rPr>
            </w:pPr>
            <w:r w:rsidRPr="00320638">
              <w:rPr>
                <w:color w:val="000000"/>
              </w:rPr>
              <w:t xml:space="preserve">We look at every complaint we receive, and we do our best to </w:t>
            </w:r>
            <w:proofErr w:type="gramStart"/>
            <w:r w:rsidRPr="00320638">
              <w:rPr>
                <w:color w:val="000000"/>
              </w:rPr>
              <w:t>take action</w:t>
            </w:r>
            <w:proofErr w:type="gramEnd"/>
            <w:r w:rsidRPr="00320638">
              <w:rPr>
                <w:color w:val="000000"/>
              </w:rPr>
              <w:t xml:space="preserve"> on every action we receive.  Due to </w:t>
            </w:r>
            <w:proofErr w:type="gramStart"/>
            <w:r w:rsidRPr="00320638">
              <w:rPr>
                <w:color w:val="000000"/>
              </w:rPr>
              <w:t>a number of</w:t>
            </w:r>
            <w:proofErr w:type="gramEnd"/>
            <w:r w:rsidRPr="00320638">
              <w:rPr>
                <w:color w:val="000000"/>
              </w:rPr>
              <w:t xml:space="preserve"> factors, we have to prioritize the complaints we receive, but we do always look for other avenues to address any potential fraud. If you have questions regarding a particular complaint, please contact the local OIG office. Here is a link to our offices: https://www2.ed.gov/about</w:t>
            </w:r>
          </w:p>
        </w:tc>
      </w:tr>
    </w:tbl>
    <w:p w14:paraId="575EA68C"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1B3D3" w14:textId="77777777" w:rsidR="00320638" w:rsidRDefault="00320638" w:rsidP="00742375">
      <w:r>
        <w:separator/>
      </w:r>
    </w:p>
    <w:p w14:paraId="223C766D" w14:textId="77777777" w:rsidR="00320638" w:rsidRDefault="00320638"/>
  </w:endnote>
  <w:endnote w:type="continuationSeparator" w:id="0">
    <w:p w14:paraId="572EA008" w14:textId="77777777" w:rsidR="00320638" w:rsidRDefault="00320638" w:rsidP="00742375">
      <w:r>
        <w:continuationSeparator/>
      </w:r>
    </w:p>
    <w:p w14:paraId="32BE4087" w14:textId="77777777" w:rsidR="00320638" w:rsidRDefault="00320638"/>
  </w:endnote>
  <w:endnote w:type="continuationNotice" w:id="1">
    <w:p w14:paraId="6A4CE4F9" w14:textId="77777777" w:rsidR="00320638" w:rsidRDefault="00320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5C90C"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A0B2D"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70187" w14:textId="77777777" w:rsidR="00320638" w:rsidRDefault="00320638" w:rsidP="00742375"/>
    <w:p w14:paraId="78627DDE" w14:textId="77777777" w:rsidR="00320638" w:rsidRDefault="00320638"/>
  </w:footnote>
  <w:footnote w:type="continuationSeparator" w:id="0">
    <w:p w14:paraId="56D3FFF9" w14:textId="77777777" w:rsidR="00320638" w:rsidRDefault="00320638" w:rsidP="00742375">
      <w:r>
        <w:continuationSeparator/>
      </w:r>
    </w:p>
    <w:p w14:paraId="1E0FE547" w14:textId="77777777" w:rsidR="00320638" w:rsidRDefault="00320638"/>
  </w:footnote>
  <w:footnote w:type="continuationNotice" w:id="1">
    <w:p w14:paraId="1A86368F" w14:textId="77777777" w:rsidR="00320638" w:rsidRDefault="003206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1BFAE" w14:textId="77777777" w:rsidR="004A7844" w:rsidRDefault="001D42B3">
    <w:pPr>
      <w:pStyle w:val="Header"/>
    </w:pPr>
    <w:r>
      <w:rPr>
        <w:noProof/>
      </w:rPr>
      <w:drawing>
        <wp:anchor distT="0" distB="0" distL="114300" distR="114300" simplePos="0" relativeHeight="251658240" behindDoc="1" locked="0" layoutInCell="1" allowOverlap="1" wp14:anchorId="768DC1DF" wp14:editId="37538238">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8BBCC"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38"/>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063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05E3AD"/>
  <w14:defaultImageDpi w14:val="0"/>
  <w15:docId w15:val="{D188A2D6-5913-4CE3-86C3-47F3F47B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580612">
      <w:bodyDiv w:val="1"/>
      <w:marLeft w:val="0"/>
      <w:marRight w:val="0"/>
      <w:marTop w:val="0"/>
      <w:marBottom w:val="0"/>
      <w:divBdr>
        <w:top w:val="none" w:sz="0" w:space="0" w:color="auto"/>
        <w:left w:val="none" w:sz="0" w:space="0" w:color="auto"/>
        <w:bottom w:val="none" w:sz="0" w:space="0" w:color="auto"/>
        <w:right w:val="none" w:sz="0" w:space="0" w:color="auto"/>
      </w:divBdr>
    </w:div>
    <w:div w:id="17065187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1</TotalTime>
  <Pages>3</Pages>
  <Words>666</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4585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2021-02-17T21:45:00Z</dcterms:created>
  <dcterms:modified xsi:type="dcterms:W3CDTF">2021-02-17T21:46:00Z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