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71367" w14:textId="77777777" w:rsidR="00000000" w:rsidRDefault="00FC4018">
      <w:pPr>
        <w:pStyle w:val="Heading3"/>
        <w:rPr>
          <w:rFonts w:eastAsia="Times New Roman"/>
        </w:rPr>
      </w:pPr>
      <w:r>
        <w:rPr>
          <w:rFonts w:eastAsia="Times New Roman"/>
        </w:rPr>
        <w:t xml:space="preserve">BO7. </w:t>
      </w:r>
      <w:r>
        <w:rPr>
          <w:rStyle w:val="Emphasis"/>
          <w:rFonts w:eastAsia="Times New Roman"/>
        </w:rPr>
        <w:t>Title IV</w:t>
      </w:r>
      <w:r>
        <w:rPr>
          <w:rFonts w:eastAsia="Times New Roman"/>
        </w:rPr>
        <w:t xml:space="preserve"> Administration for Non-term Credit Hour Programs (Q&amp;A</w:t>
      </w:r>
      <w:r>
        <w:rPr>
          <w:rFonts w:eastAsia="Times New Roman"/>
        </w:rPr>
        <w:t>)</w:t>
      </w:r>
    </w:p>
    <w:p w14:paraId="3A3049BC" w14:textId="77777777" w:rsidR="00000000" w:rsidRDefault="00FC4018">
      <w:pPr>
        <w:rPr>
          <w:rFonts w:eastAsia="Times New Roman"/>
        </w:rPr>
      </w:pPr>
      <w:r>
        <w:rPr>
          <w:rFonts w:eastAsia="Times New Roman"/>
        </w:rPr>
        <w:br/>
      </w:r>
      <w:r>
        <w:rPr>
          <w:rFonts w:eastAsia="Times New Roman"/>
          <w:b/>
          <w:bCs/>
        </w:rPr>
        <w:t>Question:</w:t>
      </w:r>
      <w:r>
        <w:rPr>
          <w:rFonts w:eastAsia="Times New Roman"/>
        </w:rPr>
        <w:t xml:space="preserve"> </w:t>
      </w:r>
    </w:p>
    <w:p w14:paraId="698979C0" w14:textId="77777777" w:rsidR="00000000" w:rsidRDefault="00FC4018">
      <w:pPr>
        <w:divId w:val="879703279"/>
        <w:rPr>
          <w:rFonts w:eastAsia="Times New Roman"/>
        </w:rPr>
      </w:pPr>
      <w:r>
        <w:rPr>
          <w:rFonts w:eastAsia="Times New Roman"/>
        </w:rPr>
        <w:t>Slide 31 indicates the maximum loan period is generally the program's academic year. Back on slide 25, an example is given of a program with an academic year definition of 30 weeks. However, the length of the student's loan period spans 36 weeks. Can you c</w:t>
      </w:r>
      <w:r>
        <w:rPr>
          <w:rFonts w:eastAsia="Times New Roman"/>
        </w:rPr>
        <w:t>larify, the second disbursement can occur after the student completes 1/2 of the weeks in the AY definition (15 weeks), rather than 1/2 of the weeks in the length of the loan (which would be 18 weeks)? Why wouldn't such a school define the academic year as</w:t>
      </w:r>
      <w:r>
        <w:rPr>
          <w:rFonts w:eastAsia="Times New Roman"/>
        </w:rPr>
        <w:t xml:space="preserve"> 36 weeks, rather than 30?</w:t>
      </w:r>
    </w:p>
    <w:p w14:paraId="5A10AD64" w14:textId="77777777" w:rsidR="00000000" w:rsidRDefault="00FC4018">
      <w:pPr>
        <w:divId w:val="231627615"/>
        <w:rPr>
          <w:rFonts w:eastAsia="Times New Roman"/>
        </w:rPr>
      </w:pPr>
      <w:r>
        <w:rPr>
          <w:rFonts w:eastAsia="Times New Roman"/>
          <w:b/>
          <w:bCs/>
        </w:rPr>
        <w:t>Response:</w:t>
      </w:r>
      <w:r>
        <w:rPr>
          <w:rFonts w:eastAsia="Times New Roman"/>
        </w:rPr>
        <w:t xml:space="preserve"> </w:t>
      </w:r>
    </w:p>
    <w:p w14:paraId="4CD8ABB8" w14:textId="77777777" w:rsidR="00000000" w:rsidRDefault="00FC4018">
      <w:pPr>
        <w:divId w:val="1553883461"/>
        <w:rPr>
          <w:rFonts w:eastAsia="Times New Roman"/>
        </w:rPr>
      </w:pPr>
      <w:r>
        <w:rPr>
          <w:rFonts w:eastAsia="Times New Roman"/>
        </w:rPr>
        <w:t xml:space="preserve">SME-Summers-Thank you for your question. The slide data are just examples. A school could define its academic year as 36 weeks in length. If that were the case, one-half of those hours (and weeks) must be successfully </w:t>
      </w:r>
      <w:r>
        <w:rPr>
          <w:rFonts w:eastAsia="Times New Roman"/>
        </w:rPr>
        <w:t>completed to progress to the next payment period. Only then could the next disbursement occur. We mix up the examples because different schools choose different academic year lengths as expressed in hours and weeks.</w:t>
      </w:r>
    </w:p>
    <w:p w14:paraId="2F409C3E" w14:textId="77777777" w:rsidR="00000000" w:rsidRDefault="00FC4018">
      <w:pPr>
        <w:divId w:val="231627615"/>
        <w:rPr>
          <w:rFonts w:eastAsia="Times New Roman"/>
        </w:rPr>
      </w:pPr>
      <w:r>
        <w:rPr>
          <w:rFonts w:eastAsia="Times New Roman"/>
          <w:b/>
          <w:bCs/>
        </w:rPr>
        <w:t>Response:</w:t>
      </w:r>
      <w:r>
        <w:rPr>
          <w:rFonts w:eastAsia="Times New Roman"/>
        </w:rPr>
        <w:t xml:space="preserve"> </w:t>
      </w:r>
    </w:p>
    <w:p w14:paraId="5CB6CDAA" w14:textId="77777777" w:rsidR="00000000" w:rsidRDefault="00FC4018">
      <w:pPr>
        <w:divId w:val="977421117"/>
        <w:rPr>
          <w:rFonts w:eastAsia="Times New Roman"/>
        </w:rPr>
      </w:pPr>
      <w:r>
        <w:rPr>
          <w:rFonts w:eastAsia="Times New Roman"/>
        </w:rPr>
        <w:t>Thank you for asking the ques</w:t>
      </w:r>
      <w:r>
        <w:rPr>
          <w:rFonts w:eastAsia="Times New Roman"/>
        </w:rPr>
        <w:t>tion. This also confused me (and still does).</w:t>
      </w:r>
    </w:p>
    <w:p w14:paraId="6BFCD61C" w14:textId="77777777" w:rsidR="00000000" w:rsidRDefault="00FC4018">
      <w:pPr>
        <w:rPr>
          <w:rFonts w:eastAsia="Times New Roman"/>
        </w:rPr>
      </w:pPr>
      <w:r>
        <w:rPr>
          <w:rFonts w:eastAsia="Times New Roman"/>
        </w:rPr>
        <w:br/>
      </w:r>
      <w:r>
        <w:rPr>
          <w:rFonts w:eastAsia="Times New Roman"/>
          <w:b/>
          <w:bCs/>
        </w:rPr>
        <w:t>Question:</w:t>
      </w:r>
      <w:r>
        <w:rPr>
          <w:rFonts w:eastAsia="Times New Roman"/>
        </w:rPr>
        <w:t xml:space="preserve"> </w:t>
      </w:r>
    </w:p>
    <w:p w14:paraId="5DAEEAD4" w14:textId="77777777" w:rsidR="00000000" w:rsidRDefault="00FC4018">
      <w:pPr>
        <w:divId w:val="1932003697"/>
        <w:rPr>
          <w:rFonts w:eastAsia="Times New Roman"/>
        </w:rPr>
      </w:pPr>
      <w:r>
        <w:rPr>
          <w:rFonts w:eastAsia="Times New Roman"/>
        </w:rPr>
        <w:t xml:space="preserve">Suppose a student was initially in a non-term program but did not complete their first payment period. We informed them they had lost eligibility, so they decided to seek a different program now in </w:t>
      </w:r>
      <w:r>
        <w:rPr>
          <w:rFonts w:eastAsia="Times New Roman"/>
        </w:rPr>
        <w:t>the standard program. Would the student regain their loan eligibility as long as they meet all other eligibility requirements?</w:t>
      </w:r>
    </w:p>
    <w:p w14:paraId="1A73AE32" w14:textId="77777777" w:rsidR="00000000" w:rsidRDefault="00FC4018">
      <w:pPr>
        <w:divId w:val="992031452"/>
        <w:rPr>
          <w:rFonts w:eastAsia="Times New Roman"/>
        </w:rPr>
      </w:pPr>
      <w:r>
        <w:rPr>
          <w:rFonts w:eastAsia="Times New Roman"/>
          <w:b/>
          <w:bCs/>
        </w:rPr>
        <w:t>Response:</w:t>
      </w:r>
      <w:r>
        <w:rPr>
          <w:rFonts w:eastAsia="Times New Roman"/>
        </w:rPr>
        <w:t xml:space="preserve"> </w:t>
      </w:r>
    </w:p>
    <w:p w14:paraId="62EE6C35" w14:textId="77777777" w:rsidR="00000000" w:rsidRDefault="00FC4018">
      <w:pPr>
        <w:divId w:val="1262642278"/>
        <w:rPr>
          <w:rFonts w:eastAsia="Times New Roman"/>
        </w:rPr>
      </w:pPr>
      <w:r>
        <w:rPr>
          <w:rFonts w:eastAsia="Times New Roman"/>
        </w:rPr>
        <w:t>SME Vancil: If the student meets all eligibility requirements in the new program, they are not ineligible for aid in t</w:t>
      </w:r>
      <w:r>
        <w:rPr>
          <w:rFonts w:eastAsia="Times New Roman"/>
        </w:rPr>
        <w:t>he new program simply because they were ineligible for whatever reason in the first program. There is information about transferring between programs at the same school in Volume 3 Chapter 5. If you're in the 21-22 PDF Handbook, it would start on page 3-16</w:t>
      </w:r>
      <w:r>
        <w:rPr>
          <w:rFonts w:eastAsia="Times New Roman"/>
        </w:rPr>
        <w:t>9.</w:t>
      </w:r>
    </w:p>
    <w:p w14:paraId="6FBA285C" w14:textId="77777777" w:rsidR="00000000" w:rsidRDefault="00FC4018">
      <w:pPr>
        <w:rPr>
          <w:rFonts w:eastAsia="Times New Roman"/>
        </w:rPr>
      </w:pPr>
      <w:r>
        <w:rPr>
          <w:rFonts w:eastAsia="Times New Roman"/>
        </w:rPr>
        <w:br/>
      </w:r>
      <w:r>
        <w:rPr>
          <w:rFonts w:eastAsia="Times New Roman"/>
          <w:b/>
          <w:bCs/>
        </w:rPr>
        <w:t>Question:</w:t>
      </w:r>
      <w:r>
        <w:rPr>
          <w:rFonts w:eastAsia="Times New Roman"/>
        </w:rPr>
        <w:t xml:space="preserve"> </w:t>
      </w:r>
    </w:p>
    <w:p w14:paraId="53AB3BF8" w14:textId="77777777" w:rsidR="00000000" w:rsidRDefault="00FC4018">
      <w:pPr>
        <w:divId w:val="51662726"/>
        <w:rPr>
          <w:rFonts w:eastAsia="Times New Roman"/>
        </w:rPr>
      </w:pPr>
      <w:r>
        <w:rPr>
          <w:rFonts w:eastAsia="Times New Roman"/>
        </w:rPr>
        <w:t>We have a program that is non-term, but is not lock-step (in other words, not everyone registers in all the same classes all the time). Can we set a minimum number of credits required for the academic year, but not have to adjust when the se</w:t>
      </w:r>
      <w:r>
        <w:rPr>
          <w:rFonts w:eastAsia="Times New Roman"/>
        </w:rPr>
        <w:t xml:space="preserve">cond disbursement would be if they register for more credits? For example, we set a minimum of 15 credits for the academic year and, at the beginning of the academic year, a student registers for 9 units and the subsequently registers for an additional 10 </w:t>
      </w:r>
      <w:r>
        <w:rPr>
          <w:rFonts w:eastAsia="Times New Roman"/>
        </w:rPr>
        <w:t>units. Can we still leave the number of credits for the award year at 15 and so disburse the funding once the student has completed at least 7.5 credits (and half the academic weeks)? or would we need to adjust the calculation of the second disbursement ba</w:t>
      </w:r>
      <w:r>
        <w:rPr>
          <w:rFonts w:eastAsia="Times New Roman"/>
        </w:rPr>
        <w:t>sed on the student's actual enrollment of 19?</w:t>
      </w:r>
    </w:p>
    <w:p w14:paraId="6B287E52" w14:textId="77777777" w:rsidR="00000000" w:rsidRDefault="00FC4018">
      <w:pPr>
        <w:divId w:val="306320874"/>
        <w:rPr>
          <w:rFonts w:eastAsia="Times New Roman"/>
        </w:rPr>
      </w:pPr>
      <w:r>
        <w:rPr>
          <w:rFonts w:eastAsia="Times New Roman"/>
          <w:b/>
          <w:bCs/>
        </w:rPr>
        <w:t>Response:</w:t>
      </w:r>
      <w:r>
        <w:rPr>
          <w:rFonts w:eastAsia="Times New Roman"/>
        </w:rPr>
        <w:t xml:space="preserve"> </w:t>
      </w:r>
    </w:p>
    <w:p w14:paraId="0B82F8D8" w14:textId="77777777" w:rsidR="00000000" w:rsidRDefault="00FC4018">
      <w:pPr>
        <w:divId w:val="1441484284"/>
        <w:rPr>
          <w:rFonts w:eastAsia="Times New Roman"/>
        </w:rPr>
      </w:pPr>
      <w:r>
        <w:rPr>
          <w:rFonts w:eastAsia="Times New Roman"/>
        </w:rPr>
        <w:t>SME - Scott - The academic year does not change based on a student's progress or lack thereof. It is a standard applicable to all students in a program. If your academic year definition is 15 credits</w:t>
      </w:r>
      <w:r>
        <w:rPr>
          <w:rFonts w:eastAsia="Times New Roman"/>
        </w:rPr>
        <w:t>, then each payment period is 7.5 credits and half the weeks. When a student successfully completes the first payment period, they are eligible for a second disbursement. Changes to registration do not drive the payment period.</w:t>
      </w:r>
    </w:p>
    <w:p w14:paraId="3A911D0F" w14:textId="77777777" w:rsidR="00000000" w:rsidRDefault="00FC4018">
      <w:pPr>
        <w:divId w:val="306320874"/>
        <w:rPr>
          <w:rFonts w:eastAsia="Times New Roman"/>
        </w:rPr>
      </w:pPr>
      <w:r>
        <w:rPr>
          <w:rFonts w:eastAsia="Times New Roman"/>
          <w:b/>
          <w:bCs/>
        </w:rPr>
        <w:lastRenderedPageBreak/>
        <w:t>Response:</w:t>
      </w:r>
      <w:r>
        <w:rPr>
          <w:rFonts w:eastAsia="Times New Roman"/>
        </w:rPr>
        <w:t xml:space="preserve"> </w:t>
      </w:r>
    </w:p>
    <w:p w14:paraId="6C1490D4" w14:textId="77777777" w:rsidR="00000000" w:rsidRDefault="00FC4018">
      <w:pPr>
        <w:divId w:val="464585850"/>
        <w:rPr>
          <w:rFonts w:eastAsia="Times New Roman"/>
        </w:rPr>
      </w:pPr>
      <w:r>
        <w:rPr>
          <w:rFonts w:eastAsia="Times New Roman"/>
        </w:rPr>
        <w:t>Thank you. So, to</w:t>
      </w:r>
      <w:r>
        <w:rPr>
          <w:rFonts w:eastAsia="Times New Roman"/>
        </w:rPr>
        <w:t xml:space="preserve"> clarify, we could establish a minimum number of credits necessary to complete the academic year and, if the student registers for more than the minimum credits, we do not need to make any adjustments to our academic year calculations for when the student </w:t>
      </w:r>
      <w:r>
        <w:rPr>
          <w:rFonts w:eastAsia="Times New Roman"/>
        </w:rPr>
        <w:t>has successfully complete the first half of the year in order to receive the second disbursement.</w:t>
      </w:r>
    </w:p>
    <w:p w14:paraId="6C0500AF" w14:textId="77777777" w:rsidR="00000000" w:rsidRDefault="00FC4018">
      <w:pPr>
        <w:divId w:val="306320874"/>
        <w:rPr>
          <w:rFonts w:eastAsia="Times New Roman"/>
        </w:rPr>
      </w:pPr>
      <w:r>
        <w:rPr>
          <w:rFonts w:eastAsia="Times New Roman"/>
          <w:b/>
          <w:bCs/>
        </w:rPr>
        <w:t>Response:</w:t>
      </w:r>
      <w:r>
        <w:rPr>
          <w:rFonts w:eastAsia="Times New Roman"/>
        </w:rPr>
        <w:t xml:space="preserve"> </w:t>
      </w:r>
    </w:p>
    <w:p w14:paraId="16F83A87" w14:textId="77777777" w:rsidR="00000000" w:rsidRDefault="00FC4018">
      <w:pPr>
        <w:divId w:val="1266618334"/>
        <w:rPr>
          <w:rFonts w:eastAsia="Times New Roman"/>
        </w:rPr>
      </w:pPr>
      <w:r>
        <w:rPr>
          <w:rFonts w:eastAsia="Times New Roman"/>
        </w:rPr>
        <w:t>SME Scott- You must establish an academic year definition that applies to all students in the program. That definition does not change based on the</w:t>
      </w:r>
      <w:r>
        <w:rPr>
          <w:rFonts w:eastAsia="Times New Roman"/>
        </w:rPr>
        <w:t xml:space="preserve"> number of credits that any student enrolls in. If students enroll in more credits than are included in the academic year definition, the academic year definition does not change.</w:t>
      </w:r>
    </w:p>
    <w:p w14:paraId="4BEA17BF" w14:textId="77777777" w:rsidR="00000000" w:rsidRDefault="00FC4018">
      <w:pPr>
        <w:divId w:val="306320874"/>
        <w:rPr>
          <w:rFonts w:eastAsia="Times New Roman"/>
        </w:rPr>
      </w:pPr>
      <w:r>
        <w:rPr>
          <w:rFonts w:eastAsia="Times New Roman"/>
          <w:b/>
          <w:bCs/>
        </w:rPr>
        <w:t>Response:</w:t>
      </w:r>
      <w:r>
        <w:rPr>
          <w:rFonts w:eastAsia="Times New Roman"/>
        </w:rPr>
        <w:t xml:space="preserve"> </w:t>
      </w:r>
    </w:p>
    <w:p w14:paraId="6E9DD7E5" w14:textId="77777777" w:rsidR="00000000" w:rsidRDefault="00FC4018">
      <w:pPr>
        <w:divId w:val="136459591"/>
        <w:rPr>
          <w:rFonts w:eastAsia="Times New Roman"/>
        </w:rPr>
      </w:pPr>
      <w:r>
        <w:rPr>
          <w:rFonts w:eastAsia="Times New Roman"/>
        </w:rPr>
        <w:t>Thank you so much.</w:t>
      </w:r>
    </w:p>
    <w:p w14:paraId="38706068" w14:textId="77777777" w:rsidR="00000000" w:rsidRDefault="00FC4018">
      <w:pPr>
        <w:rPr>
          <w:rFonts w:eastAsia="Times New Roman"/>
        </w:rPr>
      </w:pPr>
      <w:r>
        <w:rPr>
          <w:rFonts w:eastAsia="Times New Roman"/>
        </w:rPr>
        <w:br/>
      </w:r>
      <w:r>
        <w:rPr>
          <w:rFonts w:eastAsia="Times New Roman"/>
          <w:b/>
          <w:bCs/>
        </w:rPr>
        <w:t>Question:</w:t>
      </w:r>
      <w:r>
        <w:rPr>
          <w:rFonts w:eastAsia="Times New Roman"/>
        </w:rPr>
        <w:t xml:space="preserve"> </w:t>
      </w:r>
    </w:p>
    <w:p w14:paraId="4A2F4521" w14:textId="77777777" w:rsidR="00000000" w:rsidRDefault="00FC4018">
      <w:pPr>
        <w:divId w:val="383915619"/>
        <w:rPr>
          <w:rFonts w:eastAsia="Times New Roman"/>
        </w:rPr>
      </w:pPr>
      <w:r>
        <w:rPr>
          <w:rFonts w:eastAsia="Times New Roman"/>
        </w:rPr>
        <w:t xml:space="preserve">For nonstandard not substantially </w:t>
      </w:r>
      <w:r>
        <w:rPr>
          <w:rFonts w:eastAsia="Times New Roman"/>
        </w:rPr>
        <w:t>equal terms, is there a maximum number of weeks that an academic year should not extend beyond?</w:t>
      </w:r>
    </w:p>
    <w:p w14:paraId="127BEA8B" w14:textId="77777777" w:rsidR="00000000" w:rsidRDefault="00FC4018">
      <w:pPr>
        <w:divId w:val="1198540833"/>
        <w:rPr>
          <w:rFonts w:eastAsia="Times New Roman"/>
        </w:rPr>
      </w:pPr>
      <w:r>
        <w:rPr>
          <w:rFonts w:eastAsia="Times New Roman"/>
          <w:b/>
          <w:bCs/>
        </w:rPr>
        <w:t>Response:</w:t>
      </w:r>
      <w:r>
        <w:rPr>
          <w:rFonts w:eastAsia="Times New Roman"/>
        </w:rPr>
        <w:t xml:space="preserve"> </w:t>
      </w:r>
    </w:p>
    <w:p w14:paraId="36E18B06" w14:textId="77777777" w:rsidR="00000000" w:rsidRDefault="00FC4018">
      <w:pPr>
        <w:divId w:val="1813137995"/>
        <w:rPr>
          <w:rFonts w:eastAsia="Times New Roman"/>
        </w:rPr>
      </w:pPr>
      <w:r>
        <w:rPr>
          <w:rFonts w:eastAsia="Times New Roman"/>
        </w:rPr>
        <w:t>SME-Summers-Thank you for your question. There is no maximum number of weeks, only a minimum number defined in the regulations.</w:t>
      </w:r>
    </w:p>
    <w:p w14:paraId="059F2552" w14:textId="77777777" w:rsidR="00000000" w:rsidRDefault="00FC4018">
      <w:pPr>
        <w:rPr>
          <w:rFonts w:eastAsia="Times New Roman"/>
        </w:rPr>
      </w:pPr>
      <w:r>
        <w:rPr>
          <w:rFonts w:eastAsia="Times New Roman"/>
        </w:rPr>
        <w:br/>
      </w:r>
      <w:r>
        <w:rPr>
          <w:rFonts w:eastAsia="Times New Roman"/>
          <w:b/>
          <w:bCs/>
        </w:rPr>
        <w:t>Question:</w:t>
      </w:r>
      <w:r>
        <w:rPr>
          <w:rFonts w:eastAsia="Times New Roman"/>
        </w:rPr>
        <w:t xml:space="preserve"> </w:t>
      </w:r>
    </w:p>
    <w:p w14:paraId="456780D9" w14:textId="77777777" w:rsidR="00000000" w:rsidRDefault="00FC4018">
      <w:pPr>
        <w:divId w:val="34352324"/>
        <w:rPr>
          <w:rFonts w:eastAsia="Times New Roman"/>
        </w:rPr>
      </w:pPr>
      <w:r>
        <w:rPr>
          <w:rFonts w:eastAsia="Times New Roman"/>
        </w:rPr>
        <w:t>Slide 20:</w:t>
      </w:r>
      <w:r>
        <w:rPr>
          <w:rFonts w:eastAsia="Times New Roman"/>
        </w:rPr>
        <w:t xml:space="preserve"> Does the requirement to determine enrollment status for Pell only apply when the program is less than a full academic year or the student has less than a full academic year remaining? I thought presenters at previous conferences said that students are alw</w:t>
      </w:r>
      <w:r>
        <w:rPr>
          <w:rFonts w:eastAsia="Times New Roman"/>
        </w:rPr>
        <w:t>ays treated as FT in nonterm for full academic years.</w:t>
      </w:r>
    </w:p>
    <w:p w14:paraId="2EC6D84E" w14:textId="77777777" w:rsidR="00000000" w:rsidRDefault="00FC4018">
      <w:pPr>
        <w:divId w:val="368801051"/>
        <w:rPr>
          <w:rFonts w:eastAsia="Times New Roman"/>
        </w:rPr>
      </w:pPr>
      <w:r>
        <w:rPr>
          <w:rFonts w:eastAsia="Times New Roman"/>
          <w:b/>
          <w:bCs/>
        </w:rPr>
        <w:t>Response:</w:t>
      </w:r>
      <w:r>
        <w:rPr>
          <w:rFonts w:eastAsia="Times New Roman"/>
        </w:rPr>
        <w:t xml:space="preserve"> </w:t>
      </w:r>
    </w:p>
    <w:p w14:paraId="1D64E927" w14:textId="77777777" w:rsidR="00000000" w:rsidRDefault="00FC4018">
      <w:pPr>
        <w:divId w:val="1602685607"/>
        <w:rPr>
          <w:rFonts w:eastAsia="Times New Roman"/>
        </w:rPr>
      </w:pPr>
      <w:r>
        <w:rPr>
          <w:rFonts w:eastAsia="Times New Roman"/>
        </w:rPr>
        <w:t>The reference to enrollment status for Pell has only to do with calculating COA due to the limitations on COA components for half-time status. Pell Grant awards for non-term programs are alwa</w:t>
      </w:r>
      <w:r>
        <w:rPr>
          <w:rFonts w:eastAsia="Times New Roman"/>
        </w:rPr>
        <w:t>ys calculated from the full-time payment schedule.</w:t>
      </w:r>
    </w:p>
    <w:p w14:paraId="43513537" w14:textId="77777777" w:rsidR="00000000" w:rsidRDefault="00FC4018">
      <w:pPr>
        <w:rPr>
          <w:rFonts w:eastAsia="Times New Roman"/>
        </w:rPr>
      </w:pPr>
      <w:r>
        <w:rPr>
          <w:rFonts w:eastAsia="Times New Roman"/>
        </w:rPr>
        <w:br/>
      </w:r>
      <w:r>
        <w:rPr>
          <w:rFonts w:eastAsia="Times New Roman"/>
          <w:b/>
          <w:bCs/>
        </w:rPr>
        <w:t>Question:</w:t>
      </w:r>
      <w:r>
        <w:rPr>
          <w:rFonts w:eastAsia="Times New Roman"/>
        </w:rPr>
        <w:t xml:space="preserve"> </w:t>
      </w:r>
    </w:p>
    <w:p w14:paraId="1D7353BA" w14:textId="77777777" w:rsidR="00000000" w:rsidRDefault="00FC4018">
      <w:pPr>
        <w:divId w:val="2045672018"/>
        <w:rPr>
          <w:rFonts w:eastAsia="Times New Roman"/>
        </w:rPr>
      </w:pPr>
      <w:r>
        <w:rPr>
          <w:rFonts w:eastAsia="Times New Roman"/>
        </w:rPr>
        <w:t>Does the payment period crossover always occur on 6/30 and 7/1? Our academic year runs from 9/1 to 8/31, wouldn't the crossover occur on those days for us?</w:t>
      </w:r>
    </w:p>
    <w:p w14:paraId="6C5FCAC1" w14:textId="77777777" w:rsidR="00000000" w:rsidRDefault="00FC4018">
      <w:pPr>
        <w:divId w:val="647326312"/>
        <w:rPr>
          <w:rFonts w:eastAsia="Times New Roman"/>
        </w:rPr>
      </w:pPr>
      <w:r>
        <w:rPr>
          <w:rFonts w:eastAsia="Times New Roman"/>
          <w:b/>
          <w:bCs/>
        </w:rPr>
        <w:t>Response:</w:t>
      </w:r>
      <w:r>
        <w:rPr>
          <w:rFonts w:eastAsia="Times New Roman"/>
        </w:rPr>
        <w:t xml:space="preserve"> </w:t>
      </w:r>
    </w:p>
    <w:p w14:paraId="31F23331" w14:textId="77777777" w:rsidR="00000000" w:rsidRDefault="00FC4018">
      <w:pPr>
        <w:divId w:val="1377007528"/>
        <w:rPr>
          <w:rFonts w:eastAsia="Times New Roman"/>
        </w:rPr>
      </w:pPr>
      <w:r>
        <w:rPr>
          <w:rFonts w:eastAsia="Times New Roman"/>
        </w:rPr>
        <w:t>SME Vancil: For Title IV purposes, crossover has to do with a loan period or payment peri</w:t>
      </w:r>
      <w:r>
        <w:rPr>
          <w:rFonts w:eastAsia="Times New Roman"/>
        </w:rPr>
        <w:t>od that occurs in two award years. An award year runs from July 1 to June 30. Please see Volume 3 Chapter 7. There is a section all about crossover periods including a chart for your use.</w:t>
      </w:r>
    </w:p>
    <w:p w14:paraId="33A2B9FD" w14:textId="77777777" w:rsidR="00000000" w:rsidRDefault="00FC4018">
      <w:pPr>
        <w:rPr>
          <w:rFonts w:eastAsia="Times New Roman"/>
        </w:rPr>
      </w:pPr>
      <w:r>
        <w:rPr>
          <w:rFonts w:eastAsia="Times New Roman"/>
        </w:rPr>
        <w:br/>
      </w:r>
      <w:r>
        <w:rPr>
          <w:rFonts w:eastAsia="Times New Roman"/>
          <w:b/>
          <w:bCs/>
        </w:rPr>
        <w:t>Question:</w:t>
      </w:r>
      <w:r>
        <w:rPr>
          <w:rFonts w:eastAsia="Times New Roman"/>
        </w:rPr>
        <w:t xml:space="preserve"> </w:t>
      </w:r>
    </w:p>
    <w:p w14:paraId="04C5FAED" w14:textId="77777777" w:rsidR="00000000" w:rsidRDefault="00FC4018">
      <w:pPr>
        <w:divId w:val="1935628697"/>
        <w:rPr>
          <w:rFonts w:eastAsia="Times New Roman"/>
        </w:rPr>
      </w:pPr>
      <w:r>
        <w:rPr>
          <w:rFonts w:eastAsia="Times New Roman"/>
        </w:rPr>
        <w:t>Hello. I am not sure if I am following correctly. In a n</w:t>
      </w:r>
      <w:r>
        <w:rPr>
          <w:rFonts w:eastAsia="Times New Roman"/>
        </w:rPr>
        <w:t xml:space="preserve">on-term program of less than an academic year (Ours will be 17 weeks, 39 credits), so I have to split the 17 weeks into two payment periods? </w:t>
      </w:r>
    </w:p>
    <w:p w14:paraId="3A380BAC" w14:textId="77777777" w:rsidR="00000000" w:rsidRDefault="00FC4018">
      <w:pPr>
        <w:divId w:val="130288393"/>
        <w:rPr>
          <w:rFonts w:eastAsia="Times New Roman"/>
        </w:rPr>
      </w:pPr>
      <w:r>
        <w:rPr>
          <w:rFonts w:eastAsia="Times New Roman"/>
          <w:b/>
          <w:bCs/>
        </w:rPr>
        <w:t>Response:</w:t>
      </w:r>
      <w:r>
        <w:rPr>
          <w:rFonts w:eastAsia="Times New Roman"/>
        </w:rPr>
        <w:t xml:space="preserve"> </w:t>
      </w:r>
    </w:p>
    <w:p w14:paraId="13249A75" w14:textId="77777777" w:rsidR="00000000" w:rsidRDefault="00FC4018">
      <w:pPr>
        <w:divId w:val="1677733065"/>
        <w:rPr>
          <w:rFonts w:eastAsia="Times New Roman"/>
        </w:rPr>
      </w:pPr>
      <w:r>
        <w:rPr>
          <w:rFonts w:eastAsia="Times New Roman"/>
        </w:rPr>
        <w:t xml:space="preserve">SME-Summers-Thank you for your question. The answer is yes. Remember to document your definition on an </w:t>
      </w:r>
      <w:r>
        <w:rPr>
          <w:rFonts w:eastAsia="Times New Roman"/>
        </w:rPr>
        <w:t>Academic Year for that program, as expressed in hours and weeks.</w:t>
      </w:r>
    </w:p>
    <w:p w14:paraId="7E462D3A" w14:textId="77777777" w:rsidR="00000000" w:rsidRDefault="00FC4018">
      <w:pPr>
        <w:divId w:val="130288393"/>
        <w:rPr>
          <w:rFonts w:eastAsia="Times New Roman"/>
        </w:rPr>
      </w:pPr>
      <w:r>
        <w:rPr>
          <w:rFonts w:eastAsia="Times New Roman"/>
          <w:b/>
          <w:bCs/>
        </w:rPr>
        <w:t>Response:</w:t>
      </w:r>
      <w:r>
        <w:rPr>
          <w:rFonts w:eastAsia="Times New Roman"/>
        </w:rPr>
        <w:t xml:space="preserve"> </w:t>
      </w:r>
    </w:p>
    <w:p w14:paraId="65420926" w14:textId="77777777" w:rsidR="00000000" w:rsidRDefault="00FC4018">
      <w:pPr>
        <w:divId w:val="736632401"/>
        <w:rPr>
          <w:rFonts w:eastAsia="Times New Roman"/>
        </w:rPr>
      </w:pPr>
      <w:r>
        <w:rPr>
          <w:rFonts w:eastAsia="Times New Roman"/>
        </w:rPr>
        <w:lastRenderedPageBreak/>
        <w:t xml:space="preserve">This is my first non-term program. Do I need to set up a separate academic year for this program, even though it is less than the minimum academic year? Or can I use our SAY, even </w:t>
      </w:r>
      <w:r>
        <w:rPr>
          <w:rFonts w:eastAsia="Times New Roman"/>
        </w:rPr>
        <w:t>though courses in this program may start before and extend past the end of our SAY?</w:t>
      </w:r>
    </w:p>
    <w:p w14:paraId="3165D30B" w14:textId="77777777" w:rsidR="00000000" w:rsidRDefault="00FC4018">
      <w:pPr>
        <w:divId w:val="130288393"/>
        <w:rPr>
          <w:rFonts w:eastAsia="Times New Roman"/>
        </w:rPr>
      </w:pPr>
      <w:r>
        <w:rPr>
          <w:rFonts w:eastAsia="Times New Roman"/>
          <w:b/>
          <w:bCs/>
        </w:rPr>
        <w:t>Response:</w:t>
      </w:r>
      <w:r>
        <w:rPr>
          <w:rFonts w:eastAsia="Times New Roman"/>
        </w:rPr>
        <w:t xml:space="preserve"> </w:t>
      </w:r>
    </w:p>
    <w:p w14:paraId="2A5E177A" w14:textId="77777777" w:rsidR="00000000" w:rsidRDefault="00FC4018">
      <w:pPr>
        <w:divId w:val="1218589137"/>
        <w:rPr>
          <w:rFonts w:eastAsia="Times New Roman"/>
        </w:rPr>
      </w:pPr>
      <w:r>
        <w:rPr>
          <w:rFonts w:eastAsia="Times New Roman"/>
        </w:rPr>
        <w:t>SME-Summers-Thank you for your question. Yes, you must establish a different academic year for this non-term program. An SAY is a separate concept than the Acade</w:t>
      </w:r>
      <w:r>
        <w:rPr>
          <w:rFonts w:eastAsia="Times New Roman"/>
        </w:rPr>
        <w:t>mic Year definition. The Academic Year definition must meet the minimum requirements, even if the program is less than an Academic Year in length. Also, if this is truly a non-term program, you would not use SAY. You would use one of the BBAYs.</w:t>
      </w: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FC4018"/>
    <w:rsid w:val="00FC40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B43D4F"/>
  <w15:chartTrackingRefBased/>
  <w15:docId w15:val="{801733FA-4A13-4B2A-9088-E5F8950D9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337248">
      <w:marLeft w:val="0"/>
      <w:marRight w:val="0"/>
      <w:marTop w:val="0"/>
      <w:marBottom w:val="0"/>
      <w:divBdr>
        <w:top w:val="none" w:sz="0" w:space="0" w:color="auto"/>
        <w:left w:val="none" w:sz="0" w:space="0" w:color="auto"/>
        <w:bottom w:val="none" w:sz="0" w:space="0" w:color="auto"/>
        <w:right w:val="none" w:sz="0" w:space="0" w:color="auto"/>
      </w:divBdr>
      <w:divsChild>
        <w:div w:id="34352324">
          <w:marLeft w:val="0"/>
          <w:marRight w:val="0"/>
          <w:marTop w:val="0"/>
          <w:marBottom w:val="0"/>
          <w:divBdr>
            <w:top w:val="none" w:sz="0" w:space="0" w:color="auto"/>
            <w:left w:val="none" w:sz="0" w:space="0" w:color="auto"/>
            <w:bottom w:val="none" w:sz="0" w:space="0" w:color="auto"/>
            <w:right w:val="none" w:sz="0" w:space="0" w:color="auto"/>
          </w:divBdr>
        </w:div>
        <w:div w:id="368801051">
          <w:marLeft w:val="0"/>
          <w:marRight w:val="0"/>
          <w:marTop w:val="0"/>
          <w:marBottom w:val="0"/>
          <w:divBdr>
            <w:top w:val="none" w:sz="0" w:space="0" w:color="auto"/>
            <w:left w:val="none" w:sz="0" w:space="0" w:color="auto"/>
            <w:bottom w:val="none" w:sz="0" w:space="0" w:color="auto"/>
            <w:right w:val="none" w:sz="0" w:space="0" w:color="auto"/>
          </w:divBdr>
          <w:divsChild>
            <w:div w:id="855389495">
              <w:marLeft w:val="0"/>
              <w:marRight w:val="0"/>
              <w:marTop w:val="0"/>
              <w:marBottom w:val="0"/>
              <w:divBdr>
                <w:top w:val="none" w:sz="0" w:space="0" w:color="auto"/>
                <w:left w:val="none" w:sz="0" w:space="0" w:color="auto"/>
                <w:bottom w:val="none" w:sz="0" w:space="0" w:color="auto"/>
                <w:right w:val="none" w:sz="0" w:space="0" w:color="auto"/>
              </w:divBdr>
              <w:divsChild>
                <w:div w:id="160268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824105">
      <w:marLeft w:val="0"/>
      <w:marRight w:val="0"/>
      <w:marTop w:val="0"/>
      <w:marBottom w:val="0"/>
      <w:divBdr>
        <w:top w:val="none" w:sz="0" w:space="0" w:color="auto"/>
        <w:left w:val="none" w:sz="0" w:space="0" w:color="auto"/>
        <w:bottom w:val="none" w:sz="0" w:space="0" w:color="auto"/>
        <w:right w:val="none" w:sz="0" w:space="0" w:color="auto"/>
      </w:divBdr>
      <w:divsChild>
        <w:div w:id="2045672018">
          <w:marLeft w:val="0"/>
          <w:marRight w:val="0"/>
          <w:marTop w:val="0"/>
          <w:marBottom w:val="0"/>
          <w:divBdr>
            <w:top w:val="none" w:sz="0" w:space="0" w:color="auto"/>
            <w:left w:val="none" w:sz="0" w:space="0" w:color="auto"/>
            <w:bottom w:val="none" w:sz="0" w:space="0" w:color="auto"/>
            <w:right w:val="none" w:sz="0" w:space="0" w:color="auto"/>
          </w:divBdr>
        </w:div>
        <w:div w:id="647326312">
          <w:marLeft w:val="0"/>
          <w:marRight w:val="0"/>
          <w:marTop w:val="0"/>
          <w:marBottom w:val="0"/>
          <w:divBdr>
            <w:top w:val="none" w:sz="0" w:space="0" w:color="auto"/>
            <w:left w:val="none" w:sz="0" w:space="0" w:color="auto"/>
            <w:bottom w:val="none" w:sz="0" w:space="0" w:color="auto"/>
            <w:right w:val="none" w:sz="0" w:space="0" w:color="auto"/>
          </w:divBdr>
          <w:divsChild>
            <w:div w:id="133909614">
              <w:marLeft w:val="0"/>
              <w:marRight w:val="0"/>
              <w:marTop w:val="0"/>
              <w:marBottom w:val="0"/>
              <w:divBdr>
                <w:top w:val="none" w:sz="0" w:space="0" w:color="auto"/>
                <w:left w:val="none" w:sz="0" w:space="0" w:color="auto"/>
                <w:bottom w:val="none" w:sz="0" w:space="0" w:color="auto"/>
                <w:right w:val="none" w:sz="0" w:space="0" w:color="auto"/>
              </w:divBdr>
              <w:divsChild>
                <w:div w:id="137700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770899">
      <w:marLeft w:val="0"/>
      <w:marRight w:val="0"/>
      <w:marTop w:val="0"/>
      <w:marBottom w:val="0"/>
      <w:divBdr>
        <w:top w:val="none" w:sz="0" w:space="0" w:color="auto"/>
        <w:left w:val="none" w:sz="0" w:space="0" w:color="auto"/>
        <w:bottom w:val="none" w:sz="0" w:space="0" w:color="auto"/>
        <w:right w:val="none" w:sz="0" w:space="0" w:color="auto"/>
      </w:divBdr>
      <w:divsChild>
        <w:div w:id="1932003697">
          <w:marLeft w:val="0"/>
          <w:marRight w:val="0"/>
          <w:marTop w:val="0"/>
          <w:marBottom w:val="0"/>
          <w:divBdr>
            <w:top w:val="none" w:sz="0" w:space="0" w:color="auto"/>
            <w:left w:val="none" w:sz="0" w:space="0" w:color="auto"/>
            <w:bottom w:val="none" w:sz="0" w:space="0" w:color="auto"/>
            <w:right w:val="none" w:sz="0" w:space="0" w:color="auto"/>
          </w:divBdr>
        </w:div>
        <w:div w:id="992031452">
          <w:marLeft w:val="0"/>
          <w:marRight w:val="0"/>
          <w:marTop w:val="0"/>
          <w:marBottom w:val="0"/>
          <w:divBdr>
            <w:top w:val="none" w:sz="0" w:space="0" w:color="auto"/>
            <w:left w:val="none" w:sz="0" w:space="0" w:color="auto"/>
            <w:bottom w:val="none" w:sz="0" w:space="0" w:color="auto"/>
            <w:right w:val="none" w:sz="0" w:space="0" w:color="auto"/>
          </w:divBdr>
          <w:divsChild>
            <w:div w:id="1112363502">
              <w:marLeft w:val="0"/>
              <w:marRight w:val="0"/>
              <w:marTop w:val="0"/>
              <w:marBottom w:val="0"/>
              <w:divBdr>
                <w:top w:val="none" w:sz="0" w:space="0" w:color="auto"/>
                <w:left w:val="none" w:sz="0" w:space="0" w:color="auto"/>
                <w:bottom w:val="none" w:sz="0" w:space="0" w:color="auto"/>
                <w:right w:val="none" w:sz="0" w:space="0" w:color="auto"/>
              </w:divBdr>
              <w:divsChild>
                <w:div w:id="126264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933052">
      <w:marLeft w:val="0"/>
      <w:marRight w:val="0"/>
      <w:marTop w:val="0"/>
      <w:marBottom w:val="0"/>
      <w:divBdr>
        <w:top w:val="none" w:sz="0" w:space="0" w:color="auto"/>
        <w:left w:val="none" w:sz="0" w:space="0" w:color="auto"/>
        <w:bottom w:val="none" w:sz="0" w:space="0" w:color="auto"/>
        <w:right w:val="none" w:sz="0" w:space="0" w:color="auto"/>
      </w:divBdr>
      <w:divsChild>
        <w:div w:id="383915619">
          <w:marLeft w:val="0"/>
          <w:marRight w:val="0"/>
          <w:marTop w:val="0"/>
          <w:marBottom w:val="0"/>
          <w:divBdr>
            <w:top w:val="none" w:sz="0" w:space="0" w:color="auto"/>
            <w:left w:val="none" w:sz="0" w:space="0" w:color="auto"/>
            <w:bottom w:val="none" w:sz="0" w:space="0" w:color="auto"/>
            <w:right w:val="none" w:sz="0" w:space="0" w:color="auto"/>
          </w:divBdr>
        </w:div>
        <w:div w:id="1198540833">
          <w:marLeft w:val="0"/>
          <w:marRight w:val="0"/>
          <w:marTop w:val="0"/>
          <w:marBottom w:val="0"/>
          <w:divBdr>
            <w:top w:val="none" w:sz="0" w:space="0" w:color="auto"/>
            <w:left w:val="none" w:sz="0" w:space="0" w:color="auto"/>
            <w:bottom w:val="none" w:sz="0" w:space="0" w:color="auto"/>
            <w:right w:val="none" w:sz="0" w:space="0" w:color="auto"/>
          </w:divBdr>
          <w:divsChild>
            <w:div w:id="802574580">
              <w:marLeft w:val="0"/>
              <w:marRight w:val="0"/>
              <w:marTop w:val="0"/>
              <w:marBottom w:val="0"/>
              <w:divBdr>
                <w:top w:val="none" w:sz="0" w:space="0" w:color="auto"/>
                <w:left w:val="none" w:sz="0" w:space="0" w:color="auto"/>
                <w:bottom w:val="none" w:sz="0" w:space="0" w:color="auto"/>
                <w:right w:val="none" w:sz="0" w:space="0" w:color="auto"/>
              </w:divBdr>
              <w:divsChild>
                <w:div w:id="181313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207970">
      <w:marLeft w:val="0"/>
      <w:marRight w:val="0"/>
      <w:marTop w:val="0"/>
      <w:marBottom w:val="0"/>
      <w:divBdr>
        <w:top w:val="none" w:sz="0" w:space="0" w:color="auto"/>
        <w:left w:val="none" w:sz="0" w:space="0" w:color="auto"/>
        <w:bottom w:val="none" w:sz="0" w:space="0" w:color="auto"/>
        <w:right w:val="none" w:sz="0" w:space="0" w:color="auto"/>
      </w:divBdr>
      <w:divsChild>
        <w:div w:id="51662726">
          <w:marLeft w:val="0"/>
          <w:marRight w:val="0"/>
          <w:marTop w:val="0"/>
          <w:marBottom w:val="0"/>
          <w:divBdr>
            <w:top w:val="none" w:sz="0" w:space="0" w:color="auto"/>
            <w:left w:val="none" w:sz="0" w:space="0" w:color="auto"/>
            <w:bottom w:val="none" w:sz="0" w:space="0" w:color="auto"/>
            <w:right w:val="none" w:sz="0" w:space="0" w:color="auto"/>
          </w:divBdr>
        </w:div>
        <w:div w:id="306320874">
          <w:marLeft w:val="0"/>
          <w:marRight w:val="0"/>
          <w:marTop w:val="0"/>
          <w:marBottom w:val="0"/>
          <w:divBdr>
            <w:top w:val="none" w:sz="0" w:space="0" w:color="auto"/>
            <w:left w:val="none" w:sz="0" w:space="0" w:color="auto"/>
            <w:bottom w:val="none" w:sz="0" w:space="0" w:color="auto"/>
            <w:right w:val="none" w:sz="0" w:space="0" w:color="auto"/>
          </w:divBdr>
          <w:divsChild>
            <w:div w:id="1805729467">
              <w:marLeft w:val="0"/>
              <w:marRight w:val="0"/>
              <w:marTop w:val="0"/>
              <w:marBottom w:val="0"/>
              <w:divBdr>
                <w:top w:val="none" w:sz="0" w:space="0" w:color="auto"/>
                <w:left w:val="none" w:sz="0" w:space="0" w:color="auto"/>
                <w:bottom w:val="none" w:sz="0" w:space="0" w:color="auto"/>
                <w:right w:val="none" w:sz="0" w:space="0" w:color="auto"/>
              </w:divBdr>
              <w:divsChild>
                <w:div w:id="1441484284">
                  <w:marLeft w:val="0"/>
                  <w:marRight w:val="0"/>
                  <w:marTop w:val="0"/>
                  <w:marBottom w:val="0"/>
                  <w:divBdr>
                    <w:top w:val="none" w:sz="0" w:space="0" w:color="auto"/>
                    <w:left w:val="none" w:sz="0" w:space="0" w:color="auto"/>
                    <w:bottom w:val="none" w:sz="0" w:space="0" w:color="auto"/>
                    <w:right w:val="none" w:sz="0" w:space="0" w:color="auto"/>
                  </w:divBdr>
                </w:div>
              </w:divsChild>
            </w:div>
            <w:div w:id="1343438090">
              <w:marLeft w:val="0"/>
              <w:marRight w:val="0"/>
              <w:marTop w:val="0"/>
              <w:marBottom w:val="0"/>
              <w:divBdr>
                <w:top w:val="none" w:sz="0" w:space="0" w:color="auto"/>
                <w:left w:val="none" w:sz="0" w:space="0" w:color="auto"/>
                <w:bottom w:val="none" w:sz="0" w:space="0" w:color="auto"/>
                <w:right w:val="none" w:sz="0" w:space="0" w:color="auto"/>
              </w:divBdr>
              <w:divsChild>
                <w:div w:id="464585850">
                  <w:marLeft w:val="0"/>
                  <w:marRight w:val="0"/>
                  <w:marTop w:val="0"/>
                  <w:marBottom w:val="0"/>
                  <w:divBdr>
                    <w:top w:val="none" w:sz="0" w:space="0" w:color="auto"/>
                    <w:left w:val="none" w:sz="0" w:space="0" w:color="auto"/>
                    <w:bottom w:val="none" w:sz="0" w:space="0" w:color="auto"/>
                    <w:right w:val="none" w:sz="0" w:space="0" w:color="auto"/>
                  </w:divBdr>
                </w:div>
              </w:divsChild>
            </w:div>
            <w:div w:id="947934818">
              <w:marLeft w:val="0"/>
              <w:marRight w:val="0"/>
              <w:marTop w:val="0"/>
              <w:marBottom w:val="0"/>
              <w:divBdr>
                <w:top w:val="none" w:sz="0" w:space="0" w:color="auto"/>
                <w:left w:val="none" w:sz="0" w:space="0" w:color="auto"/>
                <w:bottom w:val="none" w:sz="0" w:space="0" w:color="auto"/>
                <w:right w:val="none" w:sz="0" w:space="0" w:color="auto"/>
              </w:divBdr>
              <w:divsChild>
                <w:div w:id="1266618334">
                  <w:marLeft w:val="0"/>
                  <w:marRight w:val="0"/>
                  <w:marTop w:val="0"/>
                  <w:marBottom w:val="0"/>
                  <w:divBdr>
                    <w:top w:val="none" w:sz="0" w:space="0" w:color="auto"/>
                    <w:left w:val="none" w:sz="0" w:space="0" w:color="auto"/>
                    <w:bottom w:val="none" w:sz="0" w:space="0" w:color="auto"/>
                    <w:right w:val="none" w:sz="0" w:space="0" w:color="auto"/>
                  </w:divBdr>
                </w:div>
              </w:divsChild>
            </w:div>
            <w:div w:id="162136628">
              <w:marLeft w:val="0"/>
              <w:marRight w:val="0"/>
              <w:marTop w:val="0"/>
              <w:marBottom w:val="0"/>
              <w:divBdr>
                <w:top w:val="none" w:sz="0" w:space="0" w:color="auto"/>
                <w:left w:val="none" w:sz="0" w:space="0" w:color="auto"/>
                <w:bottom w:val="none" w:sz="0" w:space="0" w:color="auto"/>
                <w:right w:val="none" w:sz="0" w:space="0" w:color="auto"/>
              </w:divBdr>
              <w:divsChild>
                <w:div w:id="13645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732767">
      <w:marLeft w:val="0"/>
      <w:marRight w:val="0"/>
      <w:marTop w:val="0"/>
      <w:marBottom w:val="0"/>
      <w:divBdr>
        <w:top w:val="none" w:sz="0" w:space="0" w:color="auto"/>
        <w:left w:val="none" w:sz="0" w:space="0" w:color="auto"/>
        <w:bottom w:val="none" w:sz="0" w:space="0" w:color="auto"/>
        <w:right w:val="none" w:sz="0" w:space="0" w:color="auto"/>
      </w:divBdr>
      <w:divsChild>
        <w:div w:id="1935628697">
          <w:marLeft w:val="0"/>
          <w:marRight w:val="0"/>
          <w:marTop w:val="0"/>
          <w:marBottom w:val="0"/>
          <w:divBdr>
            <w:top w:val="none" w:sz="0" w:space="0" w:color="auto"/>
            <w:left w:val="none" w:sz="0" w:space="0" w:color="auto"/>
            <w:bottom w:val="none" w:sz="0" w:space="0" w:color="auto"/>
            <w:right w:val="none" w:sz="0" w:space="0" w:color="auto"/>
          </w:divBdr>
        </w:div>
        <w:div w:id="130288393">
          <w:marLeft w:val="0"/>
          <w:marRight w:val="0"/>
          <w:marTop w:val="0"/>
          <w:marBottom w:val="0"/>
          <w:divBdr>
            <w:top w:val="none" w:sz="0" w:space="0" w:color="auto"/>
            <w:left w:val="none" w:sz="0" w:space="0" w:color="auto"/>
            <w:bottom w:val="none" w:sz="0" w:space="0" w:color="auto"/>
            <w:right w:val="none" w:sz="0" w:space="0" w:color="auto"/>
          </w:divBdr>
          <w:divsChild>
            <w:div w:id="1044212531">
              <w:marLeft w:val="0"/>
              <w:marRight w:val="0"/>
              <w:marTop w:val="0"/>
              <w:marBottom w:val="0"/>
              <w:divBdr>
                <w:top w:val="none" w:sz="0" w:space="0" w:color="auto"/>
                <w:left w:val="none" w:sz="0" w:space="0" w:color="auto"/>
                <w:bottom w:val="none" w:sz="0" w:space="0" w:color="auto"/>
                <w:right w:val="none" w:sz="0" w:space="0" w:color="auto"/>
              </w:divBdr>
              <w:divsChild>
                <w:div w:id="1677733065">
                  <w:marLeft w:val="0"/>
                  <w:marRight w:val="0"/>
                  <w:marTop w:val="0"/>
                  <w:marBottom w:val="0"/>
                  <w:divBdr>
                    <w:top w:val="none" w:sz="0" w:space="0" w:color="auto"/>
                    <w:left w:val="none" w:sz="0" w:space="0" w:color="auto"/>
                    <w:bottom w:val="none" w:sz="0" w:space="0" w:color="auto"/>
                    <w:right w:val="none" w:sz="0" w:space="0" w:color="auto"/>
                  </w:divBdr>
                </w:div>
              </w:divsChild>
            </w:div>
            <w:div w:id="179593111">
              <w:marLeft w:val="0"/>
              <w:marRight w:val="0"/>
              <w:marTop w:val="0"/>
              <w:marBottom w:val="0"/>
              <w:divBdr>
                <w:top w:val="none" w:sz="0" w:space="0" w:color="auto"/>
                <w:left w:val="none" w:sz="0" w:space="0" w:color="auto"/>
                <w:bottom w:val="none" w:sz="0" w:space="0" w:color="auto"/>
                <w:right w:val="none" w:sz="0" w:space="0" w:color="auto"/>
              </w:divBdr>
              <w:divsChild>
                <w:div w:id="736632401">
                  <w:marLeft w:val="0"/>
                  <w:marRight w:val="0"/>
                  <w:marTop w:val="0"/>
                  <w:marBottom w:val="0"/>
                  <w:divBdr>
                    <w:top w:val="none" w:sz="0" w:space="0" w:color="auto"/>
                    <w:left w:val="none" w:sz="0" w:space="0" w:color="auto"/>
                    <w:bottom w:val="none" w:sz="0" w:space="0" w:color="auto"/>
                    <w:right w:val="none" w:sz="0" w:space="0" w:color="auto"/>
                  </w:divBdr>
                </w:div>
              </w:divsChild>
            </w:div>
            <w:div w:id="1110203879">
              <w:marLeft w:val="0"/>
              <w:marRight w:val="0"/>
              <w:marTop w:val="0"/>
              <w:marBottom w:val="0"/>
              <w:divBdr>
                <w:top w:val="none" w:sz="0" w:space="0" w:color="auto"/>
                <w:left w:val="none" w:sz="0" w:space="0" w:color="auto"/>
                <w:bottom w:val="none" w:sz="0" w:space="0" w:color="auto"/>
                <w:right w:val="none" w:sz="0" w:space="0" w:color="auto"/>
              </w:divBdr>
              <w:divsChild>
                <w:div w:id="121858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654794">
      <w:marLeft w:val="0"/>
      <w:marRight w:val="0"/>
      <w:marTop w:val="0"/>
      <w:marBottom w:val="0"/>
      <w:divBdr>
        <w:top w:val="none" w:sz="0" w:space="0" w:color="auto"/>
        <w:left w:val="none" w:sz="0" w:space="0" w:color="auto"/>
        <w:bottom w:val="none" w:sz="0" w:space="0" w:color="auto"/>
        <w:right w:val="none" w:sz="0" w:space="0" w:color="auto"/>
      </w:divBdr>
      <w:divsChild>
        <w:div w:id="879703279">
          <w:marLeft w:val="0"/>
          <w:marRight w:val="0"/>
          <w:marTop w:val="0"/>
          <w:marBottom w:val="0"/>
          <w:divBdr>
            <w:top w:val="none" w:sz="0" w:space="0" w:color="auto"/>
            <w:left w:val="none" w:sz="0" w:space="0" w:color="auto"/>
            <w:bottom w:val="none" w:sz="0" w:space="0" w:color="auto"/>
            <w:right w:val="none" w:sz="0" w:space="0" w:color="auto"/>
          </w:divBdr>
        </w:div>
        <w:div w:id="231627615">
          <w:marLeft w:val="0"/>
          <w:marRight w:val="0"/>
          <w:marTop w:val="0"/>
          <w:marBottom w:val="0"/>
          <w:divBdr>
            <w:top w:val="none" w:sz="0" w:space="0" w:color="auto"/>
            <w:left w:val="none" w:sz="0" w:space="0" w:color="auto"/>
            <w:bottom w:val="none" w:sz="0" w:space="0" w:color="auto"/>
            <w:right w:val="none" w:sz="0" w:space="0" w:color="auto"/>
          </w:divBdr>
          <w:divsChild>
            <w:div w:id="1087848581">
              <w:marLeft w:val="0"/>
              <w:marRight w:val="0"/>
              <w:marTop w:val="0"/>
              <w:marBottom w:val="0"/>
              <w:divBdr>
                <w:top w:val="none" w:sz="0" w:space="0" w:color="auto"/>
                <w:left w:val="none" w:sz="0" w:space="0" w:color="auto"/>
                <w:bottom w:val="none" w:sz="0" w:space="0" w:color="auto"/>
                <w:right w:val="none" w:sz="0" w:space="0" w:color="auto"/>
              </w:divBdr>
              <w:divsChild>
                <w:div w:id="1553883461">
                  <w:marLeft w:val="0"/>
                  <w:marRight w:val="0"/>
                  <w:marTop w:val="0"/>
                  <w:marBottom w:val="0"/>
                  <w:divBdr>
                    <w:top w:val="none" w:sz="0" w:space="0" w:color="auto"/>
                    <w:left w:val="none" w:sz="0" w:space="0" w:color="auto"/>
                    <w:bottom w:val="none" w:sz="0" w:space="0" w:color="auto"/>
                    <w:right w:val="none" w:sz="0" w:space="0" w:color="auto"/>
                  </w:divBdr>
                </w:div>
              </w:divsChild>
            </w:div>
            <w:div w:id="455418729">
              <w:marLeft w:val="0"/>
              <w:marRight w:val="0"/>
              <w:marTop w:val="0"/>
              <w:marBottom w:val="0"/>
              <w:divBdr>
                <w:top w:val="none" w:sz="0" w:space="0" w:color="auto"/>
                <w:left w:val="none" w:sz="0" w:space="0" w:color="auto"/>
                <w:bottom w:val="none" w:sz="0" w:space="0" w:color="auto"/>
                <w:right w:val="none" w:sz="0" w:space="0" w:color="auto"/>
              </w:divBdr>
              <w:divsChild>
                <w:div w:id="97742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1067</Words>
  <Characters>5210</Characters>
  <Application>Microsoft Office Word</Application>
  <DocSecurity>0</DocSecurity>
  <Lines>43</Lines>
  <Paragraphs>12</Paragraphs>
  <ScaleCrop>false</ScaleCrop>
  <Company>Department of Education</Company>
  <LinksUpToDate>false</LinksUpToDate>
  <CharactersWithSpaces>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FSATC Q&amp;A Archive</dc:title>
  <dc:subject/>
  <dc:creator>Cottingham, Brittney</dc:creator>
  <cp:keywords/>
  <dc:description/>
  <cp:lastModifiedBy>Cottingham, Brittney</cp:lastModifiedBy>
  <cp:revision>2</cp:revision>
  <dcterms:created xsi:type="dcterms:W3CDTF">2023-01-20T15:22:00Z</dcterms:created>
  <dcterms:modified xsi:type="dcterms:W3CDTF">2023-01-20T15:22:00Z</dcterms:modified>
</cp:coreProperties>
</file>