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3E2D5" w14:textId="77777777" w:rsidR="00000000" w:rsidRDefault="00922983">
      <w:pPr>
        <w:pStyle w:val="Heading3"/>
        <w:rPr>
          <w:rFonts w:eastAsia="Times New Roman"/>
        </w:rPr>
      </w:pPr>
      <w:r>
        <w:rPr>
          <w:rFonts w:eastAsia="Times New Roman"/>
        </w:rPr>
        <w:t>BO3. Protecting Student Data: The Facts, Stats, and Strategies for Preventing a Data Breach (Q&amp;A</w:t>
      </w:r>
      <w:r>
        <w:rPr>
          <w:rFonts w:eastAsia="Times New Roman"/>
        </w:rPr>
        <w:t>)</w:t>
      </w:r>
    </w:p>
    <w:p w14:paraId="18A1AC7F" w14:textId="77777777" w:rsidR="00000000" w:rsidRDefault="00922983">
      <w:pPr>
        <w:rPr>
          <w:rFonts w:eastAsia="Times New Roman"/>
        </w:rPr>
      </w:pPr>
      <w:r>
        <w:rPr>
          <w:rFonts w:eastAsia="Times New Roman"/>
        </w:rPr>
        <w:br/>
      </w:r>
      <w:r>
        <w:rPr>
          <w:rFonts w:eastAsia="Times New Roman"/>
          <w:b/>
          <w:bCs/>
        </w:rPr>
        <w:t>Question:</w:t>
      </w:r>
      <w:r>
        <w:rPr>
          <w:rFonts w:eastAsia="Times New Roman"/>
        </w:rPr>
        <w:t xml:space="preserve"> </w:t>
      </w:r>
    </w:p>
    <w:p w14:paraId="0D633093" w14:textId="77777777" w:rsidR="00000000" w:rsidRDefault="00922983">
      <w:pPr>
        <w:divId w:val="388502425"/>
        <w:rPr>
          <w:rFonts w:eastAsia="Times New Roman"/>
        </w:rPr>
      </w:pPr>
      <w:r>
        <w:rPr>
          <w:rFonts w:eastAsia="Times New Roman"/>
        </w:rPr>
        <w:t>Would it be possible to post the text of the Safeguards Rule condition that's part of the Title IV Program Participation Agreement Ts &amp; Cs to the Cybersecurity section of the FSA Partners site? It would be helpful as a reference that institutional staff ca</w:t>
      </w:r>
      <w:r>
        <w:rPr>
          <w:rFonts w:eastAsia="Times New Roman"/>
        </w:rPr>
        <w:t>n point their colleagues to in order to understand the Safeguards Rule compliance obligation that's now inherent in the Title IV relationship.</w:t>
      </w:r>
    </w:p>
    <w:p w14:paraId="314B36DE" w14:textId="77777777" w:rsidR="00000000" w:rsidRDefault="00922983">
      <w:pPr>
        <w:divId w:val="462504075"/>
        <w:rPr>
          <w:rFonts w:eastAsia="Times New Roman"/>
        </w:rPr>
      </w:pPr>
      <w:r>
        <w:rPr>
          <w:rFonts w:eastAsia="Times New Roman"/>
          <w:b/>
          <w:bCs/>
        </w:rPr>
        <w:t>Response:</w:t>
      </w:r>
      <w:r>
        <w:rPr>
          <w:rFonts w:eastAsia="Times New Roman"/>
        </w:rPr>
        <w:t xml:space="preserve"> </w:t>
      </w:r>
    </w:p>
    <w:p w14:paraId="2D84B6B8" w14:textId="77777777" w:rsidR="00000000" w:rsidRDefault="00922983">
      <w:pPr>
        <w:divId w:val="1855265332"/>
        <w:rPr>
          <w:rFonts w:eastAsia="Times New Roman"/>
        </w:rPr>
      </w:pPr>
      <w:r>
        <w:rPr>
          <w:rFonts w:eastAsia="Times New Roman"/>
        </w:rPr>
        <w:t xml:space="preserve">SME – Lossing: FSA is working to develop an announcement for the GLBA Final Rule update and will have </w:t>
      </w:r>
      <w:r>
        <w:rPr>
          <w:rFonts w:eastAsia="Times New Roman"/>
        </w:rPr>
        <w:t>it posted to PartnerConnect soon.</w:t>
      </w:r>
    </w:p>
    <w:p w14:paraId="5762830A" w14:textId="77777777" w:rsidR="00000000" w:rsidRDefault="00922983">
      <w:pPr>
        <w:divId w:val="462504075"/>
        <w:rPr>
          <w:rFonts w:eastAsia="Times New Roman"/>
        </w:rPr>
      </w:pPr>
      <w:r>
        <w:rPr>
          <w:rFonts w:eastAsia="Times New Roman"/>
          <w:b/>
          <w:bCs/>
        </w:rPr>
        <w:t>Response:</w:t>
      </w:r>
      <w:r>
        <w:rPr>
          <w:rFonts w:eastAsia="Times New Roman"/>
        </w:rPr>
        <w:t xml:space="preserve"> </w:t>
      </w:r>
    </w:p>
    <w:p w14:paraId="7949FA6F" w14:textId="77777777" w:rsidR="00000000" w:rsidRDefault="00922983">
      <w:pPr>
        <w:divId w:val="1864399521"/>
        <w:rPr>
          <w:rFonts w:eastAsia="Times New Roman"/>
        </w:rPr>
      </w:pPr>
      <w:r>
        <w:rPr>
          <w:rFonts w:eastAsia="Times New Roman"/>
        </w:rPr>
        <w:t>Thanks, but I'm just talking about the actual text in the Title IV PPA that makes Safeguards Rule compliance a condition of the PPA. The Cybersec. section of the Partner Connect site provides a link to the PPA a</w:t>
      </w:r>
      <w:r>
        <w:rPr>
          <w:rFonts w:eastAsia="Times New Roman"/>
        </w:rPr>
        <w:t>pplication, but not to the actual text of the agreement that shows what the Safeguards Rule provision of the PPA looks like. Many institutional administrators and staff may never see their institution's copy of its PPA, so being able to refer colleagues di</w:t>
      </w:r>
      <w:r>
        <w:rPr>
          <w:rFonts w:eastAsia="Times New Roman"/>
        </w:rPr>
        <w:t>rectly to the stock text of the specific provision would help people to connect the dots more quickly, as compared to finding someone with access to the institution's copy of the PPA, getting them to pull it out and find the relevant provision, etc.</w:t>
      </w:r>
    </w:p>
    <w:p w14:paraId="2619726E" w14:textId="77777777" w:rsidR="00000000" w:rsidRDefault="00922983">
      <w:pPr>
        <w:rPr>
          <w:rFonts w:eastAsia="Times New Roman"/>
        </w:rPr>
      </w:pPr>
      <w:r>
        <w:rPr>
          <w:rFonts w:eastAsia="Times New Roman"/>
        </w:rPr>
        <w:br/>
      </w:r>
      <w:r>
        <w:rPr>
          <w:rFonts w:eastAsia="Times New Roman"/>
          <w:b/>
          <w:bCs/>
        </w:rPr>
        <w:t>Quest</w:t>
      </w:r>
      <w:r>
        <w:rPr>
          <w:rFonts w:eastAsia="Times New Roman"/>
          <w:b/>
          <w:bCs/>
        </w:rPr>
        <w:t>ion:</w:t>
      </w:r>
      <w:r>
        <w:rPr>
          <w:rFonts w:eastAsia="Times New Roman"/>
        </w:rPr>
        <w:t xml:space="preserve"> </w:t>
      </w:r>
    </w:p>
    <w:p w14:paraId="3947B469" w14:textId="77777777" w:rsidR="00000000" w:rsidRDefault="00922983">
      <w:pPr>
        <w:divId w:val="689840101"/>
        <w:rPr>
          <w:rFonts w:eastAsia="Times New Roman"/>
        </w:rPr>
      </w:pPr>
      <w:r>
        <w:rPr>
          <w:rFonts w:eastAsia="Times New Roman"/>
        </w:rPr>
        <w:t>Is there a particular way to connect FSA with the CIO community? So our CIO's are getting information from you?</w:t>
      </w:r>
    </w:p>
    <w:p w14:paraId="0EE100CE" w14:textId="77777777" w:rsidR="00000000" w:rsidRDefault="00922983">
      <w:pPr>
        <w:divId w:val="1589464731"/>
        <w:rPr>
          <w:rFonts w:eastAsia="Times New Roman"/>
        </w:rPr>
      </w:pPr>
      <w:r>
        <w:rPr>
          <w:rFonts w:eastAsia="Times New Roman"/>
          <w:b/>
          <w:bCs/>
        </w:rPr>
        <w:t>Response:</w:t>
      </w:r>
      <w:r>
        <w:rPr>
          <w:rFonts w:eastAsia="Times New Roman"/>
        </w:rPr>
        <w:t xml:space="preserve"> </w:t>
      </w:r>
    </w:p>
    <w:p w14:paraId="68E89E73" w14:textId="77777777" w:rsidR="00000000" w:rsidRDefault="00922983">
      <w:pPr>
        <w:divId w:val="920525190"/>
        <w:rPr>
          <w:rFonts w:eastAsia="Times New Roman"/>
        </w:rPr>
      </w:pPr>
      <w:r>
        <w:rPr>
          <w:rFonts w:eastAsia="Times New Roman"/>
        </w:rPr>
        <w:t>SME – Lossing: If you reach out to fsaschoolcybersafety@ed.gov and ask to be a part of our Cybersecurity Newsletter, we’d be ha</w:t>
      </w:r>
      <w:r>
        <w:rPr>
          <w:rFonts w:eastAsia="Times New Roman"/>
        </w:rPr>
        <w:t>ppy to add you to our communications.</w:t>
      </w:r>
    </w:p>
    <w:p w14:paraId="3F1383C9" w14:textId="77777777" w:rsidR="00000000" w:rsidRDefault="00922983">
      <w:pPr>
        <w:divId w:val="1589464731"/>
        <w:rPr>
          <w:rFonts w:eastAsia="Times New Roman"/>
        </w:rPr>
      </w:pPr>
      <w:r>
        <w:rPr>
          <w:rFonts w:eastAsia="Times New Roman"/>
          <w:b/>
          <w:bCs/>
        </w:rPr>
        <w:t>Response:</w:t>
      </w:r>
      <w:r>
        <w:rPr>
          <w:rFonts w:eastAsia="Times New Roman"/>
        </w:rPr>
        <w:t xml:space="preserve"> </w:t>
      </w:r>
    </w:p>
    <w:p w14:paraId="6AB37FF9" w14:textId="77777777" w:rsidR="00000000" w:rsidRDefault="00922983">
      <w:pPr>
        <w:divId w:val="181867404"/>
        <w:rPr>
          <w:rFonts w:eastAsia="Times New Roman"/>
        </w:rPr>
      </w:pPr>
      <w:r>
        <w:rPr>
          <w:rFonts w:eastAsia="Times New Roman"/>
        </w:rPr>
        <w:t>Among its other outreach activities, I can say that FSA engages with the higher ed. CIO/CISO community through EDUCAUSE (educause.edu) on a regular basis. Building the relationship with the higher ed. IT com</w:t>
      </w:r>
      <w:r>
        <w:rPr>
          <w:rFonts w:eastAsia="Times New Roman"/>
        </w:rPr>
        <w:t>munity remains an ongoing effort, but the acting FSA CISO presented at the EDUCAUSE 2022 Annual Conference in late October, for example.</w:t>
      </w:r>
    </w:p>
    <w:p w14:paraId="03415804" w14:textId="77777777" w:rsidR="00000000" w:rsidRDefault="00922983">
      <w:pPr>
        <w:rPr>
          <w:rFonts w:eastAsia="Times New Roman"/>
        </w:rPr>
      </w:pPr>
      <w:r>
        <w:rPr>
          <w:rFonts w:eastAsia="Times New Roman"/>
        </w:rPr>
        <w:br/>
      </w:r>
      <w:r>
        <w:rPr>
          <w:rFonts w:eastAsia="Times New Roman"/>
          <w:b/>
          <w:bCs/>
        </w:rPr>
        <w:t>Question:</w:t>
      </w:r>
      <w:r>
        <w:rPr>
          <w:rFonts w:eastAsia="Times New Roman"/>
        </w:rPr>
        <w:t xml:space="preserve"> </w:t>
      </w:r>
    </w:p>
    <w:p w14:paraId="7CDA3BC9" w14:textId="77777777" w:rsidR="00000000" w:rsidRDefault="00922983">
      <w:pPr>
        <w:divId w:val="1825583593"/>
        <w:rPr>
          <w:rFonts w:eastAsia="Times New Roman"/>
        </w:rPr>
      </w:pPr>
      <w:r>
        <w:rPr>
          <w:rFonts w:eastAsia="Times New Roman"/>
        </w:rPr>
        <w:t>What if school doesn't know yet when the breach happened yet?</w:t>
      </w:r>
    </w:p>
    <w:p w14:paraId="5B347FE9" w14:textId="77777777" w:rsidR="00000000" w:rsidRDefault="00922983">
      <w:pPr>
        <w:divId w:val="6637305"/>
        <w:rPr>
          <w:rFonts w:eastAsia="Times New Roman"/>
        </w:rPr>
      </w:pPr>
      <w:r>
        <w:rPr>
          <w:rFonts w:eastAsia="Times New Roman"/>
          <w:b/>
          <w:bCs/>
        </w:rPr>
        <w:t>Response:</w:t>
      </w:r>
      <w:r>
        <w:rPr>
          <w:rFonts w:eastAsia="Times New Roman"/>
        </w:rPr>
        <w:t xml:space="preserve"> </w:t>
      </w:r>
    </w:p>
    <w:p w14:paraId="081C0229" w14:textId="77777777" w:rsidR="00000000" w:rsidRDefault="00922983">
      <w:pPr>
        <w:divId w:val="1148593494"/>
        <w:rPr>
          <w:rFonts w:eastAsia="Times New Roman"/>
        </w:rPr>
      </w:pPr>
      <w:r>
        <w:rPr>
          <w:rFonts w:eastAsia="Times New Roman"/>
        </w:rPr>
        <w:t>SME – Maxwell: If the school has d</w:t>
      </w:r>
      <w:r>
        <w:rPr>
          <w:rFonts w:eastAsia="Times New Roman"/>
        </w:rPr>
        <w:t>etected a breach but does not know the exact date of the breach they should report as unknown or provide a best known estimate.</w:t>
      </w:r>
    </w:p>
    <w:p w14:paraId="358BA3AE" w14:textId="77777777" w:rsidR="00000000" w:rsidRDefault="00922983">
      <w:pPr>
        <w:rPr>
          <w:rFonts w:eastAsia="Times New Roman"/>
        </w:rPr>
      </w:pPr>
      <w:r>
        <w:rPr>
          <w:rFonts w:eastAsia="Times New Roman"/>
        </w:rPr>
        <w:br/>
      </w:r>
      <w:r>
        <w:rPr>
          <w:rFonts w:eastAsia="Times New Roman"/>
          <w:b/>
          <w:bCs/>
        </w:rPr>
        <w:t>Question:</w:t>
      </w:r>
      <w:r>
        <w:rPr>
          <w:rFonts w:eastAsia="Times New Roman"/>
        </w:rPr>
        <w:t xml:space="preserve"> </w:t>
      </w:r>
    </w:p>
    <w:p w14:paraId="49131A4F" w14:textId="77777777" w:rsidR="00000000" w:rsidRDefault="00922983">
      <w:pPr>
        <w:divId w:val="639379357"/>
        <w:rPr>
          <w:rFonts w:eastAsia="Times New Roman"/>
        </w:rPr>
      </w:pPr>
      <w:r>
        <w:rPr>
          <w:rFonts w:eastAsia="Times New Roman"/>
        </w:rPr>
        <w:t>Does the support you provide in the case of a breach extend to foreign institutions?</w:t>
      </w:r>
    </w:p>
    <w:p w14:paraId="7CE52934" w14:textId="77777777" w:rsidR="00000000" w:rsidRDefault="00922983">
      <w:pPr>
        <w:divId w:val="600184611"/>
        <w:rPr>
          <w:rFonts w:eastAsia="Times New Roman"/>
        </w:rPr>
      </w:pPr>
      <w:r>
        <w:rPr>
          <w:rFonts w:eastAsia="Times New Roman"/>
          <w:b/>
          <w:bCs/>
        </w:rPr>
        <w:t>Response:</w:t>
      </w:r>
      <w:r>
        <w:rPr>
          <w:rFonts w:eastAsia="Times New Roman"/>
        </w:rPr>
        <w:t xml:space="preserve"> </w:t>
      </w:r>
    </w:p>
    <w:p w14:paraId="7E6AAE4B" w14:textId="77777777" w:rsidR="00000000" w:rsidRDefault="00922983">
      <w:pPr>
        <w:divId w:val="1224878279"/>
        <w:rPr>
          <w:rFonts w:eastAsia="Times New Roman"/>
        </w:rPr>
      </w:pPr>
      <w:r>
        <w:rPr>
          <w:rFonts w:eastAsia="Times New Roman"/>
        </w:rPr>
        <w:t>Foreign schools that</w:t>
      </w:r>
      <w:r>
        <w:rPr>
          <w:rFonts w:eastAsia="Times New Roman"/>
        </w:rPr>
        <w:t xml:space="preserve"> are enrolled in title IV programs get the same support as the domestic schools.</w:t>
      </w:r>
    </w:p>
    <w:p w14:paraId="5DAD5D91" w14:textId="77777777" w:rsidR="00000000" w:rsidRDefault="00922983">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5EEB7A49" w14:textId="77777777" w:rsidR="00000000" w:rsidRDefault="00922983">
      <w:pPr>
        <w:divId w:val="931622546"/>
        <w:rPr>
          <w:rFonts w:eastAsia="Times New Roman"/>
        </w:rPr>
      </w:pPr>
      <w:r>
        <w:rPr>
          <w:rFonts w:eastAsia="Times New Roman"/>
        </w:rPr>
        <w:t>Did Dan say that FSA has had 65 incidents reported to it? What timeframe was that over, and how many Title IV institutions are there?</w:t>
      </w:r>
    </w:p>
    <w:p w14:paraId="0ABF30F8" w14:textId="77777777" w:rsidR="00000000" w:rsidRDefault="00922983">
      <w:pPr>
        <w:divId w:val="1102725032"/>
        <w:rPr>
          <w:rFonts w:eastAsia="Times New Roman"/>
        </w:rPr>
      </w:pPr>
      <w:r>
        <w:rPr>
          <w:rFonts w:eastAsia="Times New Roman"/>
          <w:b/>
          <w:bCs/>
        </w:rPr>
        <w:t>Response:</w:t>
      </w:r>
      <w:r>
        <w:rPr>
          <w:rFonts w:eastAsia="Times New Roman"/>
        </w:rPr>
        <w:t xml:space="preserve"> </w:t>
      </w:r>
    </w:p>
    <w:p w14:paraId="63C64387" w14:textId="77777777" w:rsidR="00000000" w:rsidRDefault="00922983">
      <w:pPr>
        <w:divId w:val="1904680368"/>
        <w:rPr>
          <w:rFonts w:eastAsia="Times New Roman"/>
        </w:rPr>
      </w:pPr>
      <w:r>
        <w:rPr>
          <w:rFonts w:eastAsia="Times New Roman"/>
        </w:rPr>
        <w:t>SME – Lossing: FSA</w:t>
      </w:r>
      <w:r>
        <w:rPr>
          <w:rFonts w:eastAsia="Times New Roman"/>
        </w:rPr>
        <w:t xml:space="preserve"> sees an average of about 450 incidents per year. There are about 6000 Title IV institutions.</w:t>
      </w:r>
    </w:p>
    <w:p w14:paraId="48197D0A" w14:textId="77777777" w:rsidR="00000000" w:rsidRDefault="00922983">
      <w:pPr>
        <w:divId w:val="1102725032"/>
        <w:rPr>
          <w:rFonts w:eastAsia="Times New Roman"/>
        </w:rPr>
      </w:pPr>
      <w:r>
        <w:rPr>
          <w:rFonts w:eastAsia="Times New Roman"/>
          <w:b/>
          <w:bCs/>
        </w:rPr>
        <w:t>Response:</w:t>
      </w:r>
      <w:r>
        <w:rPr>
          <w:rFonts w:eastAsia="Times New Roman"/>
        </w:rPr>
        <w:t xml:space="preserve"> </w:t>
      </w:r>
    </w:p>
    <w:p w14:paraId="14DED129" w14:textId="77777777" w:rsidR="00000000" w:rsidRDefault="00922983">
      <w:pPr>
        <w:divId w:val="15349017"/>
        <w:rPr>
          <w:rFonts w:eastAsia="Times New Roman"/>
        </w:rPr>
      </w:pPr>
      <w:r>
        <w:rPr>
          <w:rFonts w:eastAsia="Times New Roman"/>
        </w:rPr>
        <w:t>Thanks, I didn't think that I'd heard the incident stat correctly. How many of the reported incidents were actual breaches?</w:t>
      </w:r>
    </w:p>
    <w:p w14:paraId="430AD448" w14:textId="77777777" w:rsidR="00000000" w:rsidRDefault="00922983">
      <w:pPr>
        <w:divId w:val="1102725032"/>
        <w:rPr>
          <w:rFonts w:eastAsia="Times New Roman"/>
        </w:rPr>
      </w:pPr>
      <w:r>
        <w:rPr>
          <w:rFonts w:eastAsia="Times New Roman"/>
          <w:b/>
          <w:bCs/>
        </w:rPr>
        <w:t>Response:</w:t>
      </w:r>
      <w:r>
        <w:rPr>
          <w:rFonts w:eastAsia="Times New Roman"/>
        </w:rPr>
        <w:t xml:space="preserve"> </w:t>
      </w:r>
    </w:p>
    <w:p w14:paraId="117EA573" w14:textId="77777777" w:rsidR="00000000" w:rsidRDefault="00922983">
      <w:pPr>
        <w:divId w:val="1484812762"/>
        <w:rPr>
          <w:rFonts w:eastAsia="Times New Roman"/>
        </w:rPr>
      </w:pPr>
      <w:r>
        <w:rPr>
          <w:rFonts w:eastAsia="Times New Roman"/>
        </w:rPr>
        <w:t>SME – Lossing: F</w:t>
      </w:r>
      <w:r>
        <w:rPr>
          <w:rFonts w:eastAsia="Times New Roman"/>
        </w:rPr>
        <w:t>SA does not provide a breakdown of incidents or breaches. Unauthorized Disclosure or Breach. The loss of control, compromise, unauthorized disclosure, unauthorized acquisition, unauthorized access, or any similar occurrence where (1) a person other than an</w:t>
      </w:r>
      <w:r>
        <w:rPr>
          <w:rFonts w:eastAsia="Times New Roman"/>
        </w:rPr>
        <w:t xml:space="preserve"> authorized user accesses or potentially accesses student Title IV Information or (2) an authorized user accesses or potentially accesses student Title IV Information for an other than authorized purpose, whether physical or electronic.</w:t>
      </w:r>
    </w:p>
    <w:p w14:paraId="429DF7B5" w14:textId="77777777" w:rsidR="00000000" w:rsidRDefault="00922983">
      <w:pPr>
        <w:rPr>
          <w:rFonts w:eastAsia="Times New Roman"/>
        </w:rPr>
      </w:pPr>
      <w:r>
        <w:rPr>
          <w:rFonts w:eastAsia="Times New Roman"/>
        </w:rPr>
        <w:br/>
      </w:r>
      <w:r>
        <w:rPr>
          <w:rFonts w:eastAsia="Times New Roman"/>
          <w:b/>
          <w:bCs/>
        </w:rPr>
        <w:t>Question:</w:t>
      </w:r>
      <w:r>
        <w:rPr>
          <w:rFonts w:eastAsia="Times New Roman"/>
        </w:rPr>
        <w:t xml:space="preserve"> </w:t>
      </w:r>
    </w:p>
    <w:p w14:paraId="4134A6CE" w14:textId="77777777" w:rsidR="00000000" w:rsidRDefault="00922983">
      <w:pPr>
        <w:divId w:val="1392727646"/>
        <w:rPr>
          <w:rFonts w:eastAsia="Times New Roman"/>
        </w:rPr>
      </w:pPr>
      <w:r>
        <w:rPr>
          <w:rFonts w:eastAsia="Times New Roman"/>
        </w:rPr>
        <w:t>What is the timeline for NIST SP 800-171 implementation?</w:t>
      </w:r>
    </w:p>
    <w:p w14:paraId="1BF014B0" w14:textId="77777777" w:rsidR="00000000" w:rsidRDefault="00922983">
      <w:pPr>
        <w:divId w:val="1470048188"/>
        <w:rPr>
          <w:rFonts w:eastAsia="Times New Roman"/>
        </w:rPr>
      </w:pPr>
      <w:r>
        <w:rPr>
          <w:rFonts w:eastAsia="Times New Roman"/>
          <w:b/>
          <w:bCs/>
        </w:rPr>
        <w:t>Response:</w:t>
      </w:r>
      <w:r>
        <w:rPr>
          <w:rFonts w:eastAsia="Times New Roman"/>
        </w:rPr>
        <w:t xml:space="preserve"> </w:t>
      </w:r>
    </w:p>
    <w:p w14:paraId="64567455" w14:textId="77777777" w:rsidR="00000000" w:rsidRDefault="00922983">
      <w:pPr>
        <w:divId w:val="1864435792"/>
        <w:rPr>
          <w:rFonts w:eastAsia="Times New Roman"/>
        </w:rPr>
      </w:pPr>
      <w:r>
        <w:rPr>
          <w:rFonts w:eastAsia="Times New Roman"/>
        </w:rPr>
        <w:t>SME – Lossing: The Department is working to determine a timeline for the implementation of NIST 800-171.</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22983"/>
    <w:rsid w:val="00922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A1AE5"/>
  <w15:chartTrackingRefBased/>
  <w15:docId w15:val="{CFB2CC39-3246-4831-BFF6-1DF8CC2F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67847">
      <w:marLeft w:val="0"/>
      <w:marRight w:val="0"/>
      <w:marTop w:val="0"/>
      <w:marBottom w:val="0"/>
      <w:divBdr>
        <w:top w:val="none" w:sz="0" w:space="0" w:color="auto"/>
        <w:left w:val="none" w:sz="0" w:space="0" w:color="auto"/>
        <w:bottom w:val="none" w:sz="0" w:space="0" w:color="auto"/>
        <w:right w:val="none" w:sz="0" w:space="0" w:color="auto"/>
      </w:divBdr>
      <w:divsChild>
        <w:div w:id="931622546">
          <w:marLeft w:val="0"/>
          <w:marRight w:val="0"/>
          <w:marTop w:val="0"/>
          <w:marBottom w:val="0"/>
          <w:divBdr>
            <w:top w:val="none" w:sz="0" w:space="0" w:color="auto"/>
            <w:left w:val="none" w:sz="0" w:space="0" w:color="auto"/>
            <w:bottom w:val="none" w:sz="0" w:space="0" w:color="auto"/>
            <w:right w:val="none" w:sz="0" w:space="0" w:color="auto"/>
          </w:divBdr>
        </w:div>
        <w:div w:id="1102725032">
          <w:marLeft w:val="0"/>
          <w:marRight w:val="0"/>
          <w:marTop w:val="0"/>
          <w:marBottom w:val="0"/>
          <w:divBdr>
            <w:top w:val="none" w:sz="0" w:space="0" w:color="auto"/>
            <w:left w:val="none" w:sz="0" w:space="0" w:color="auto"/>
            <w:bottom w:val="none" w:sz="0" w:space="0" w:color="auto"/>
            <w:right w:val="none" w:sz="0" w:space="0" w:color="auto"/>
          </w:divBdr>
          <w:divsChild>
            <w:div w:id="1825008541">
              <w:marLeft w:val="0"/>
              <w:marRight w:val="0"/>
              <w:marTop w:val="0"/>
              <w:marBottom w:val="0"/>
              <w:divBdr>
                <w:top w:val="none" w:sz="0" w:space="0" w:color="auto"/>
                <w:left w:val="none" w:sz="0" w:space="0" w:color="auto"/>
                <w:bottom w:val="none" w:sz="0" w:space="0" w:color="auto"/>
                <w:right w:val="none" w:sz="0" w:space="0" w:color="auto"/>
              </w:divBdr>
              <w:divsChild>
                <w:div w:id="1904680368">
                  <w:marLeft w:val="0"/>
                  <w:marRight w:val="0"/>
                  <w:marTop w:val="0"/>
                  <w:marBottom w:val="0"/>
                  <w:divBdr>
                    <w:top w:val="none" w:sz="0" w:space="0" w:color="auto"/>
                    <w:left w:val="none" w:sz="0" w:space="0" w:color="auto"/>
                    <w:bottom w:val="none" w:sz="0" w:space="0" w:color="auto"/>
                    <w:right w:val="none" w:sz="0" w:space="0" w:color="auto"/>
                  </w:divBdr>
                </w:div>
              </w:divsChild>
            </w:div>
            <w:div w:id="551890633">
              <w:marLeft w:val="0"/>
              <w:marRight w:val="0"/>
              <w:marTop w:val="0"/>
              <w:marBottom w:val="0"/>
              <w:divBdr>
                <w:top w:val="none" w:sz="0" w:space="0" w:color="auto"/>
                <w:left w:val="none" w:sz="0" w:space="0" w:color="auto"/>
                <w:bottom w:val="none" w:sz="0" w:space="0" w:color="auto"/>
                <w:right w:val="none" w:sz="0" w:space="0" w:color="auto"/>
              </w:divBdr>
              <w:divsChild>
                <w:div w:id="15349017">
                  <w:marLeft w:val="0"/>
                  <w:marRight w:val="0"/>
                  <w:marTop w:val="0"/>
                  <w:marBottom w:val="0"/>
                  <w:divBdr>
                    <w:top w:val="none" w:sz="0" w:space="0" w:color="auto"/>
                    <w:left w:val="none" w:sz="0" w:space="0" w:color="auto"/>
                    <w:bottom w:val="none" w:sz="0" w:space="0" w:color="auto"/>
                    <w:right w:val="none" w:sz="0" w:space="0" w:color="auto"/>
                  </w:divBdr>
                </w:div>
              </w:divsChild>
            </w:div>
            <w:div w:id="1417826658">
              <w:marLeft w:val="0"/>
              <w:marRight w:val="0"/>
              <w:marTop w:val="0"/>
              <w:marBottom w:val="0"/>
              <w:divBdr>
                <w:top w:val="none" w:sz="0" w:space="0" w:color="auto"/>
                <w:left w:val="none" w:sz="0" w:space="0" w:color="auto"/>
                <w:bottom w:val="none" w:sz="0" w:space="0" w:color="auto"/>
                <w:right w:val="none" w:sz="0" w:space="0" w:color="auto"/>
              </w:divBdr>
              <w:divsChild>
                <w:div w:id="148481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14742">
      <w:marLeft w:val="0"/>
      <w:marRight w:val="0"/>
      <w:marTop w:val="0"/>
      <w:marBottom w:val="0"/>
      <w:divBdr>
        <w:top w:val="none" w:sz="0" w:space="0" w:color="auto"/>
        <w:left w:val="none" w:sz="0" w:space="0" w:color="auto"/>
        <w:bottom w:val="none" w:sz="0" w:space="0" w:color="auto"/>
        <w:right w:val="none" w:sz="0" w:space="0" w:color="auto"/>
      </w:divBdr>
      <w:divsChild>
        <w:div w:id="689840101">
          <w:marLeft w:val="0"/>
          <w:marRight w:val="0"/>
          <w:marTop w:val="0"/>
          <w:marBottom w:val="0"/>
          <w:divBdr>
            <w:top w:val="none" w:sz="0" w:space="0" w:color="auto"/>
            <w:left w:val="none" w:sz="0" w:space="0" w:color="auto"/>
            <w:bottom w:val="none" w:sz="0" w:space="0" w:color="auto"/>
            <w:right w:val="none" w:sz="0" w:space="0" w:color="auto"/>
          </w:divBdr>
        </w:div>
        <w:div w:id="1589464731">
          <w:marLeft w:val="0"/>
          <w:marRight w:val="0"/>
          <w:marTop w:val="0"/>
          <w:marBottom w:val="0"/>
          <w:divBdr>
            <w:top w:val="none" w:sz="0" w:space="0" w:color="auto"/>
            <w:left w:val="none" w:sz="0" w:space="0" w:color="auto"/>
            <w:bottom w:val="none" w:sz="0" w:space="0" w:color="auto"/>
            <w:right w:val="none" w:sz="0" w:space="0" w:color="auto"/>
          </w:divBdr>
          <w:divsChild>
            <w:div w:id="730422756">
              <w:marLeft w:val="0"/>
              <w:marRight w:val="0"/>
              <w:marTop w:val="0"/>
              <w:marBottom w:val="0"/>
              <w:divBdr>
                <w:top w:val="none" w:sz="0" w:space="0" w:color="auto"/>
                <w:left w:val="none" w:sz="0" w:space="0" w:color="auto"/>
                <w:bottom w:val="none" w:sz="0" w:space="0" w:color="auto"/>
                <w:right w:val="none" w:sz="0" w:space="0" w:color="auto"/>
              </w:divBdr>
              <w:divsChild>
                <w:div w:id="920525190">
                  <w:marLeft w:val="0"/>
                  <w:marRight w:val="0"/>
                  <w:marTop w:val="0"/>
                  <w:marBottom w:val="0"/>
                  <w:divBdr>
                    <w:top w:val="none" w:sz="0" w:space="0" w:color="auto"/>
                    <w:left w:val="none" w:sz="0" w:space="0" w:color="auto"/>
                    <w:bottom w:val="none" w:sz="0" w:space="0" w:color="auto"/>
                    <w:right w:val="none" w:sz="0" w:space="0" w:color="auto"/>
                  </w:divBdr>
                </w:div>
              </w:divsChild>
            </w:div>
            <w:div w:id="1805846951">
              <w:marLeft w:val="0"/>
              <w:marRight w:val="0"/>
              <w:marTop w:val="0"/>
              <w:marBottom w:val="0"/>
              <w:divBdr>
                <w:top w:val="none" w:sz="0" w:space="0" w:color="auto"/>
                <w:left w:val="none" w:sz="0" w:space="0" w:color="auto"/>
                <w:bottom w:val="none" w:sz="0" w:space="0" w:color="auto"/>
                <w:right w:val="none" w:sz="0" w:space="0" w:color="auto"/>
              </w:divBdr>
              <w:divsChild>
                <w:div w:id="1818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955665">
      <w:marLeft w:val="0"/>
      <w:marRight w:val="0"/>
      <w:marTop w:val="0"/>
      <w:marBottom w:val="0"/>
      <w:divBdr>
        <w:top w:val="none" w:sz="0" w:space="0" w:color="auto"/>
        <w:left w:val="none" w:sz="0" w:space="0" w:color="auto"/>
        <w:bottom w:val="none" w:sz="0" w:space="0" w:color="auto"/>
        <w:right w:val="none" w:sz="0" w:space="0" w:color="auto"/>
      </w:divBdr>
      <w:divsChild>
        <w:div w:id="639379357">
          <w:marLeft w:val="0"/>
          <w:marRight w:val="0"/>
          <w:marTop w:val="0"/>
          <w:marBottom w:val="0"/>
          <w:divBdr>
            <w:top w:val="none" w:sz="0" w:space="0" w:color="auto"/>
            <w:left w:val="none" w:sz="0" w:space="0" w:color="auto"/>
            <w:bottom w:val="none" w:sz="0" w:space="0" w:color="auto"/>
            <w:right w:val="none" w:sz="0" w:space="0" w:color="auto"/>
          </w:divBdr>
        </w:div>
        <w:div w:id="600184611">
          <w:marLeft w:val="0"/>
          <w:marRight w:val="0"/>
          <w:marTop w:val="0"/>
          <w:marBottom w:val="0"/>
          <w:divBdr>
            <w:top w:val="none" w:sz="0" w:space="0" w:color="auto"/>
            <w:left w:val="none" w:sz="0" w:space="0" w:color="auto"/>
            <w:bottom w:val="none" w:sz="0" w:space="0" w:color="auto"/>
            <w:right w:val="none" w:sz="0" w:space="0" w:color="auto"/>
          </w:divBdr>
          <w:divsChild>
            <w:div w:id="1712879342">
              <w:marLeft w:val="0"/>
              <w:marRight w:val="0"/>
              <w:marTop w:val="0"/>
              <w:marBottom w:val="0"/>
              <w:divBdr>
                <w:top w:val="none" w:sz="0" w:space="0" w:color="auto"/>
                <w:left w:val="none" w:sz="0" w:space="0" w:color="auto"/>
                <w:bottom w:val="none" w:sz="0" w:space="0" w:color="auto"/>
                <w:right w:val="none" w:sz="0" w:space="0" w:color="auto"/>
              </w:divBdr>
              <w:divsChild>
                <w:div w:id="122487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74071">
      <w:marLeft w:val="0"/>
      <w:marRight w:val="0"/>
      <w:marTop w:val="0"/>
      <w:marBottom w:val="0"/>
      <w:divBdr>
        <w:top w:val="none" w:sz="0" w:space="0" w:color="auto"/>
        <w:left w:val="none" w:sz="0" w:space="0" w:color="auto"/>
        <w:bottom w:val="none" w:sz="0" w:space="0" w:color="auto"/>
        <w:right w:val="none" w:sz="0" w:space="0" w:color="auto"/>
      </w:divBdr>
      <w:divsChild>
        <w:div w:id="388502425">
          <w:marLeft w:val="0"/>
          <w:marRight w:val="0"/>
          <w:marTop w:val="0"/>
          <w:marBottom w:val="0"/>
          <w:divBdr>
            <w:top w:val="none" w:sz="0" w:space="0" w:color="auto"/>
            <w:left w:val="none" w:sz="0" w:space="0" w:color="auto"/>
            <w:bottom w:val="none" w:sz="0" w:space="0" w:color="auto"/>
            <w:right w:val="none" w:sz="0" w:space="0" w:color="auto"/>
          </w:divBdr>
        </w:div>
        <w:div w:id="462504075">
          <w:marLeft w:val="0"/>
          <w:marRight w:val="0"/>
          <w:marTop w:val="0"/>
          <w:marBottom w:val="0"/>
          <w:divBdr>
            <w:top w:val="none" w:sz="0" w:space="0" w:color="auto"/>
            <w:left w:val="none" w:sz="0" w:space="0" w:color="auto"/>
            <w:bottom w:val="none" w:sz="0" w:space="0" w:color="auto"/>
            <w:right w:val="none" w:sz="0" w:space="0" w:color="auto"/>
          </w:divBdr>
          <w:divsChild>
            <w:div w:id="1327397866">
              <w:marLeft w:val="0"/>
              <w:marRight w:val="0"/>
              <w:marTop w:val="0"/>
              <w:marBottom w:val="0"/>
              <w:divBdr>
                <w:top w:val="none" w:sz="0" w:space="0" w:color="auto"/>
                <w:left w:val="none" w:sz="0" w:space="0" w:color="auto"/>
                <w:bottom w:val="none" w:sz="0" w:space="0" w:color="auto"/>
                <w:right w:val="none" w:sz="0" w:space="0" w:color="auto"/>
              </w:divBdr>
              <w:divsChild>
                <w:div w:id="1855265332">
                  <w:marLeft w:val="0"/>
                  <w:marRight w:val="0"/>
                  <w:marTop w:val="0"/>
                  <w:marBottom w:val="0"/>
                  <w:divBdr>
                    <w:top w:val="none" w:sz="0" w:space="0" w:color="auto"/>
                    <w:left w:val="none" w:sz="0" w:space="0" w:color="auto"/>
                    <w:bottom w:val="none" w:sz="0" w:space="0" w:color="auto"/>
                    <w:right w:val="none" w:sz="0" w:space="0" w:color="auto"/>
                  </w:divBdr>
                </w:div>
              </w:divsChild>
            </w:div>
            <w:div w:id="229006086">
              <w:marLeft w:val="0"/>
              <w:marRight w:val="0"/>
              <w:marTop w:val="0"/>
              <w:marBottom w:val="0"/>
              <w:divBdr>
                <w:top w:val="none" w:sz="0" w:space="0" w:color="auto"/>
                <w:left w:val="none" w:sz="0" w:space="0" w:color="auto"/>
                <w:bottom w:val="none" w:sz="0" w:space="0" w:color="auto"/>
                <w:right w:val="none" w:sz="0" w:space="0" w:color="auto"/>
              </w:divBdr>
              <w:divsChild>
                <w:div w:id="186439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661901">
      <w:marLeft w:val="0"/>
      <w:marRight w:val="0"/>
      <w:marTop w:val="0"/>
      <w:marBottom w:val="0"/>
      <w:divBdr>
        <w:top w:val="none" w:sz="0" w:space="0" w:color="auto"/>
        <w:left w:val="none" w:sz="0" w:space="0" w:color="auto"/>
        <w:bottom w:val="none" w:sz="0" w:space="0" w:color="auto"/>
        <w:right w:val="none" w:sz="0" w:space="0" w:color="auto"/>
      </w:divBdr>
      <w:divsChild>
        <w:div w:id="1825583593">
          <w:marLeft w:val="0"/>
          <w:marRight w:val="0"/>
          <w:marTop w:val="0"/>
          <w:marBottom w:val="0"/>
          <w:divBdr>
            <w:top w:val="none" w:sz="0" w:space="0" w:color="auto"/>
            <w:left w:val="none" w:sz="0" w:space="0" w:color="auto"/>
            <w:bottom w:val="none" w:sz="0" w:space="0" w:color="auto"/>
            <w:right w:val="none" w:sz="0" w:space="0" w:color="auto"/>
          </w:divBdr>
        </w:div>
        <w:div w:id="6637305">
          <w:marLeft w:val="0"/>
          <w:marRight w:val="0"/>
          <w:marTop w:val="0"/>
          <w:marBottom w:val="0"/>
          <w:divBdr>
            <w:top w:val="none" w:sz="0" w:space="0" w:color="auto"/>
            <w:left w:val="none" w:sz="0" w:space="0" w:color="auto"/>
            <w:bottom w:val="none" w:sz="0" w:space="0" w:color="auto"/>
            <w:right w:val="none" w:sz="0" w:space="0" w:color="auto"/>
          </w:divBdr>
          <w:divsChild>
            <w:div w:id="1459375860">
              <w:marLeft w:val="0"/>
              <w:marRight w:val="0"/>
              <w:marTop w:val="0"/>
              <w:marBottom w:val="0"/>
              <w:divBdr>
                <w:top w:val="none" w:sz="0" w:space="0" w:color="auto"/>
                <w:left w:val="none" w:sz="0" w:space="0" w:color="auto"/>
                <w:bottom w:val="none" w:sz="0" w:space="0" w:color="auto"/>
                <w:right w:val="none" w:sz="0" w:space="0" w:color="auto"/>
              </w:divBdr>
              <w:divsChild>
                <w:div w:id="114859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79472">
      <w:marLeft w:val="0"/>
      <w:marRight w:val="0"/>
      <w:marTop w:val="0"/>
      <w:marBottom w:val="0"/>
      <w:divBdr>
        <w:top w:val="none" w:sz="0" w:space="0" w:color="auto"/>
        <w:left w:val="none" w:sz="0" w:space="0" w:color="auto"/>
        <w:bottom w:val="none" w:sz="0" w:space="0" w:color="auto"/>
        <w:right w:val="none" w:sz="0" w:space="0" w:color="auto"/>
      </w:divBdr>
      <w:divsChild>
        <w:div w:id="1392727646">
          <w:marLeft w:val="0"/>
          <w:marRight w:val="0"/>
          <w:marTop w:val="0"/>
          <w:marBottom w:val="0"/>
          <w:divBdr>
            <w:top w:val="none" w:sz="0" w:space="0" w:color="auto"/>
            <w:left w:val="none" w:sz="0" w:space="0" w:color="auto"/>
            <w:bottom w:val="none" w:sz="0" w:space="0" w:color="auto"/>
            <w:right w:val="none" w:sz="0" w:space="0" w:color="auto"/>
          </w:divBdr>
        </w:div>
        <w:div w:id="1470048188">
          <w:marLeft w:val="0"/>
          <w:marRight w:val="0"/>
          <w:marTop w:val="0"/>
          <w:marBottom w:val="0"/>
          <w:divBdr>
            <w:top w:val="none" w:sz="0" w:space="0" w:color="auto"/>
            <w:left w:val="none" w:sz="0" w:space="0" w:color="auto"/>
            <w:bottom w:val="none" w:sz="0" w:space="0" w:color="auto"/>
            <w:right w:val="none" w:sz="0" w:space="0" w:color="auto"/>
          </w:divBdr>
          <w:divsChild>
            <w:div w:id="1662735311">
              <w:marLeft w:val="0"/>
              <w:marRight w:val="0"/>
              <w:marTop w:val="0"/>
              <w:marBottom w:val="0"/>
              <w:divBdr>
                <w:top w:val="none" w:sz="0" w:space="0" w:color="auto"/>
                <w:left w:val="none" w:sz="0" w:space="0" w:color="auto"/>
                <w:bottom w:val="none" w:sz="0" w:space="0" w:color="auto"/>
                <w:right w:val="none" w:sz="0" w:space="0" w:color="auto"/>
              </w:divBdr>
              <w:divsChild>
                <w:div w:id="186443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3026</Characters>
  <Application>Microsoft Office Word</Application>
  <DocSecurity>0</DocSecurity>
  <Lines>25</Lines>
  <Paragraphs>7</Paragraphs>
  <ScaleCrop>false</ScaleCrop>
  <Company>Department of Education</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2023-01-20T15:27:00Z</dcterms:created>
  <dcterms:modified xsi:type="dcterms:W3CDTF">2023-01-20T15:27:00Z</dcterms:modified>
</cp:coreProperties>
</file>