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9C36D" w14:textId="77777777" w:rsidR="00000000" w:rsidRDefault="007744AC">
      <w:pPr>
        <w:pStyle w:val="Heading3"/>
        <w:rPr>
          <w:rFonts w:eastAsia="Times New Roman"/>
        </w:rPr>
      </w:pPr>
      <w:r>
        <w:rPr>
          <w:rFonts w:eastAsia="Times New Roman"/>
        </w:rPr>
        <w:t xml:space="preserve">BO20. The </w:t>
      </w:r>
      <w:r>
        <w:rPr>
          <w:rStyle w:val="Emphasis"/>
          <w:rFonts w:eastAsia="Times New Roman"/>
        </w:rPr>
        <w:t>Clery Act</w:t>
      </w:r>
      <w:r>
        <w:rPr>
          <w:rFonts w:eastAsia="Times New Roman"/>
        </w:rPr>
        <w:t xml:space="preserve"> and Campus Safety and Security:  What’s New (Q&amp;A</w:t>
      </w:r>
      <w:r>
        <w:rPr>
          <w:rFonts w:eastAsia="Times New Roman"/>
        </w:rPr>
        <w:t>)</w:t>
      </w:r>
    </w:p>
    <w:p w14:paraId="207AF9C7" w14:textId="77777777" w:rsidR="00000000" w:rsidRDefault="007744AC">
      <w:pPr>
        <w:rPr>
          <w:rFonts w:eastAsia="Times New Roman"/>
        </w:rPr>
      </w:pPr>
      <w:r>
        <w:rPr>
          <w:rFonts w:eastAsia="Times New Roman"/>
        </w:rPr>
        <w:br/>
      </w:r>
      <w:r>
        <w:rPr>
          <w:rFonts w:eastAsia="Times New Roman"/>
          <w:b/>
          <w:bCs/>
        </w:rPr>
        <w:t>Question:</w:t>
      </w:r>
      <w:r>
        <w:rPr>
          <w:rFonts w:eastAsia="Times New Roman"/>
        </w:rPr>
        <w:t xml:space="preserve"> </w:t>
      </w:r>
    </w:p>
    <w:p w14:paraId="28CCFE38" w14:textId="77777777" w:rsidR="00000000" w:rsidRDefault="007744AC">
      <w:pPr>
        <w:divId w:val="1622684323"/>
        <w:rPr>
          <w:rFonts w:eastAsia="Times New Roman"/>
        </w:rPr>
      </w:pPr>
      <w:r>
        <w:rPr>
          <w:rFonts w:eastAsia="Times New Roman"/>
        </w:rPr>
        <w:t xml:space="preserve">How will the implementation of a Prison Education Programs impact Clery geography? </w:t>
      </w:r>
      <w:r>
        <w:rPr>
          <w:rFonts w:eastAsia="Times New Roman"/>
        </w:rPr>
        <w:t>Will schools be required to include the prison since it will be listed as a location on the EAPP?</w:t>
      </w:r>
    </w:p>
    <w:p w14:paraId="5B41634A" w14:textId="77777777" w:rsidR="00000000" w:rsidRDefault="007744AC">
      <w:pPr>
        <w:divId w:val="1051997415"/>
        <w:rPr>
          <w:rFonts w:eastAsia="Times New Roman"/>
        </w:rPr>
      </w:pPr>
      <w:r>
        <w:rPr>
          <w:rFonts w:eastAsia="Times New Roman"/>
          <w:b/>
          <w:bCs/>
        </w:rPr>
        <w:t>Response:</w:t>
      </w:r>
      <w:r>
        <w:rPr>
          <w:rFonts w:eastAsia="Times New Roman"/>
        </w:rPr>
        <w:t xml:space="preserve"> </w:t>
      </w:r>
    </w:p>
    <w:p w14:paraId="768AE984" w14:textId="77777777" w:rsidR="00000000" w:rsidRDefault="007744AC">
      <w:pPr>
        <w:divId w:val="691224271"/>
        <w:rPr>
          <w:rFonts w:eastAsia="Times New Roman"/>
        </w:rPr>
      </w:pPr>
      <w:r>
        <w:rPr>
          <w:rFonts w:eastAsia="Times New Roman"/>
        </w:rPr>
        <w:t>[SME] Moore: Thank you for your question.  As with most issues related to campus safety, the answer is “it depends.”  In most cases, Prisoner Educa</w:t>
      </w:r>
      <w:r>
        <w:rPr>
          <w:rFonts w:eastAsia="Times New Roman"/>
        </w:rPr>
        <w:t>tion Programs will have no effect on an institution’s Clery Geography (CG).  An institution’s CG campus boundaries are determined by the buildings and properties that the school owns or controls for educational purposes.  We have found very few cases where</w:t>
      </w:r>
      <w:r>
        <w:rPr>
          <w:rFonts w:eastAsia="Times New Roman"/>
        </w:rPr>
        <w:t xml:space="preserve"> a correctional institution has entered into a written agreement that permits an outside entity, such as a school, to control any space in a facility.  We say “it depends” because ina few exceptional cases, schools have been permitted to rent rooms in a fa</w:t>
      </w:r>
      <w:r>
        <w:rPr>
          <w:rFonts w:eastAsia="Times New Roman"/>
        </w:rPr>
        <w:t>cility for administrative offices or classroom space.  Determinations of this type are based on the language in written agreements for the control of physical space.  A school’s CG is not automatically expanded solely by entering into an agreement to offer</w:t>
      </w:r>
      <w:r>
        <w:rPr>
          <w:rFonts w:eastAsia="Times New Roman"/>
        </w:rPr>
        <w:t xml:space="preserve"> educational programming.  This means that a school’s CG is not affected by the mere process of sending an instructor to a facility to teach a course.  We hope you find this answer and the ones that follow to be helpful. If you need more information, pleas</w:t>
      </w:r>
      <w:r>
        <w:rPr>
          <w:rFonts w:eastAsia="Times New Roman"/>
        </w:rPr>
        <w:t>e reach out via e-mail at FSATC_CleryResourceCenter@ed.gov. We also encourage you to join us for the Clery Ask-A-Fed event on Friday, December 2nd.</w:t>
      </w:r>
    </w:p>
    <w:p w14:paraId="4A2D72C6" w14:textId="77777777" w:rsidR="00000000" w:rsidRDefault="007744AC">
      <w:pPr>
        <w:rPr>
          <w:rFonts w:eastAsia="Times New Roman"/>
        </w:rPr>
      </w:pPr>
      <w:r>
        <w:rPr>
          <w:rFonts w:eastAsia="Times New Roman"/>
        </w:rPr>
        <w:br/>
      </w:r>
      <w:r>
        <w:rPr>
          <w:rFonts w:eastAsia="Times New Roman"/>
          <w:b/>
          <w:bCs/>
        </w:rPr>
        <w:t>Question:</w:t>
      </w:r>
      <w:r>
        <w:rPr>
          <w:rFonts w:eastAsia="Times New Roman"/>
        </w:rPr>
        <w:t xml:space="preserve"> </w:t>
      </w:r>
    </w:p>
    <w:p w14:paraId="4C98FFA7" w14:textId="77777777" w:rsidR="00000000" w:rsidRDefault="007744AC">
      <w:pPr>
        <w:divId w:val="1067532688"/>
        <w:rPr>
          <w:rFonts w:eastAsia="Times New Roman"/>
        </w:rPr>
      </w:pPr>
      <w:r>
        <w:rPr>
          <w:rFonts w:eastAsia="Times New Roman"/>
        </w:rPr>
        <w:t>Slide 29- can you provide the link to the resource on Partner Connect?</w:t>
      </w:r>
    </w:p>
    <w:p w14:paraId="24948ED3" w14:textId="77777777" w:rsidR="00000000" w:rsidRDefault="007744AC">
      <w:pPr>
        <w:divId w:val="1425414570"/>
        <w:rPr>
          <w:rFonts w:eastAsia="Times New Roman"/>
        </w:rPr>
      </w:pPr>
      <w:r>
        <w:rPr>
          <w:rFonts w:eastAsia="Times New Roman"/>
          <w:b/>
          <w:bCs/>
        </w:rPr>
        <w:t>Response:</w:t>
      </w:r>
      <w:r>
        <w:rPr>
          <w:rFonts w:eastAsia="Times New Roman"/>
        </w:rPr>
        <w:t xml:space="preserve"> </w:t>
      </w:r>
    </w:p>
    <w:p w14:paraId="7237F05E" w14:textId="77777777" w:rsidR="00000000" w:rsidRDefault="007744AC">
      <w:pPr>
        <w:divId w:val="1361514523"/>
        <w:rPr>
          <w:rFonts w:eastAsia="Times New Roman"/>
        </w:rPr>
      </w:pPr>
      <w:r>
        <w:rPr>
          <w:rFonts w:eastAsia="Times New Roman"/>
        </w:rPr>
        <w:t>[SME] Moore: T</w:t>
      </w:r>
      <w:r>
        <w:rPr>
          <w:rFonts w:eastAsia="Times New Roman"/>
        </w:rPr>
        <w:t>hanks for pointing out that this important resource is no longer posted on our website. You can access important information about the sexual violence prevention and response provisions of the Clery Act that were included in the Violence Against Women Reau</w:t>
      </w:r>
      <w:r>
        <w:rPr>
          <w:rFonts w:eastAsia="Times New Roman"/>
        </w:rPr>
        <w:t>thorization Act of 2013 (VAWA) here - https://www.federalregister.gov/documents/2014/10/20/2014-24284/violence-against-women-act.</w:t>
      </w:r>
    </w:p>
    <w:p w14:paraId="670D3D6F" w14:textId="77777777" w:rsidR="00000000" w:rsidRDefault="007744AC">
      <w:pPr>
        <w:rPr>
          <w:rFonts w:eastAsia="Times New Roman"/>
        </w:rPr>
      </w:pPr>
      <w:r>
        <w:rPr>
          <w:rFonts w:eastAsia="Times New Roman"/>
        </w:rPr>
        <w:br/>
      </w:r>
      <w:r>
        <w:rPr>
          <w:rFonts w:eastAsia="Times New Roman"/>
          <w:b/>
          <w:bCs/>
        </w:rPr>
        <w:t>Question:</w:t>
      </w:r>
      <w:r>
        <w:rPr>
          <w:rFonts w:eastAsia="Times New Roman"/>
        </w:rPr>
        <w:t xml:space="preserve"> </w:t>
      </w:r>
    </w:p>
    <w:p w14:paraId="01FAABC3" w14:textId="77777777" w:rsidR="00000000" w:rsidRDefault="007744AC">
      <w:pPr>
        <w:divId w:val="2042124731"/>
        <w:rPr>
          <w:rFonts w:eastAsia="Times New Roman"/>
        </w:rPr>
      </w:pPr>
      <w:r>
        <w:rPr>
          <w:rFonts w:eastAsia="Times New Roman"/>
        </w:rPr>
        <w:t>When will the recent changes to the Clery act be effective?</w:t>
      </w:r>
    </w:p>
    <w:p w14:paraId="089C028D" w14:textId="77777777" w:rsidR="00000000" w:rsidRDefault="007744AC">
      <w:pPr>
        <w:divId w:val="1917208568"/>
        <w:rPr>
          <w:rFonts w:eastAsia="Times New Roman"/>
        </w:rPr>
      </w:pPr>
      <w:r>
        <w:rPr>
          <w:rFonts w:eastAsia="Times New Roman"/>
          <w:b/>
          <w:bCs/>
        </w:rPr>
        <w:t>Response:</w:t>
      </w:r>
      <w:r>
        <w:rPr>
          <w:rFonts w:eastAsia="Times New Roman"/>
        </w:rPr>
        <w:t xml:space="preserve"> </w:t>
      </w:r>
    </w:p>
    <w:p w14:paraId="641AA33B" w14:textId="77777777" w:rsidR="00000000" w:rsidRDefault="007744AC">
      <w:pPr>
        <w:divId w:val="2021546980"/>
        <w:rPr>
          <w:rFonts w:eastAsia="Times New Roman"/>
        </w:rPr>
      </w:pPr>
      <w:r>
        <w:rPr>
          <w:rFonts w:eastAsia="Times New Roman"/>
        </w:rPr>
        <w:t>[SME] Moore: Thank you for raising this top</w:t>
      </w:r>
      <w:r>
        <w:rPr>
          <w:rFonts w:eastAsia="Times New Roman"/>
        </w:rPr>
        <w:t>ic because there is some confusion about changes to the law in the school community. As we mentioned in the session, Congress is considering several changes to campus safety laws in several areas including hazing prevention and student wellness. However, t</w:t>
      </w:r>
      <w:r>
        <w:rPr>
          <w:rFonts w:eastAsia="Times New Roman"/>
        </w:rPr>
        <w:t>he most recent regulatory changes to the Clery Act went into effect on July 1, 2015. Additional campus safety provisions were included in VAWA 2022, but those rules primarily require the Department to take specific actions, such as establishing task forces</w:t>
      </w:r>
      <w:r>
        <w:rPr>
          <w:rFonts w:eastAsia="Times New Roman"/>
        </w:rPr>
        <w:t xml:space="preserve"> and workgroups to address campus safety issues. Per VAWA 2022, institutions will be required to conduct climate surveys to assess certain issues related to sexual violence on campus. The first such survey is currently slated to take place in fall 2024. Mo</w:t>
      </w:r>
      <w:r>
        <w:rPr>
          <w:rFonts w:eastAsia="Times New Roman"/>
        </w:rPr>
        <w:t>re information will be forthcoming as we get closer to the start of the inaugural survey.</w:t>
      </w:r>
    </w:p>
    <w:p w14:paraId="6CF4EE41" w14:textId="77777777" w:rsidR="00000000" w:rsidRDefault="007744AC">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0B6530BF" w14:textId="77777777" w:rsidR="00000000" w:rsidRDefault="007744AC">
      <w:pPr>
        <w:divId w:val="179780491"/>
        <w:rPr>
          <w:rFonts w:eastAsia="Times New Roman"/>
        </w:rPr>
      </w:pPr>
      <w:r>
        <w:rPr>
          <w:rFonts w:eastAsia="Times New Roman"/>
        </w:rPr>
        <w:t>Where can schools find training and tools to train key staff and faculty on our campuses?</w:t>
      </w:r>
    </w:p>
    <w:p w14:paraId="440BD00D" w14:textId="77777777" w:rsidR="00000000" w:rsidRDefault="007744AC">
      <w:pPr>
        <w:divId w:val="56635655"/>
        <w:rPr>
          <w:rFonts w:eastAsia="Times New Roman"/>
        </w:rPr>
      </w:pPr>
      <w:r>
        <w:rPr>
          <w:rFonts w:eastAsia="Times New Roman"/>
          <w:b/>
          <w:bCs/>
        </w:rPr>
        <w:t>Response:</w:t>
      </w:r>
      <w:r>
        <w:rPr>
          <w:rFonts w:eastAsia="Times New Roman"/>
        </w:rPr>
        <w:t xml:space="preserve"> </w:t>
      </w:r>
    </w:p>
    <w:p w14:paraId="14395333" w14:textId="77777777" w:rsidR="00000000" w:rsidRDefault="007744AC">
      <w:pPr>
        <w:divId w:val="1385830671"/>
        <w:rPr>
          <w:rFonts w:eastAsia="Times New Roman"/>
        </w:rPr>
      </w:pPr>
      <w:r>
        <w:rPr>
          <w:rFonts w:eastAsia="Times New Roman"/>
        </w:rPr>
        <w:t>[SME] Moore: We appreciate your interest because trai</w:t>
      </w:r>
      <w:r>
        <w:rPr>
          <w:rFonts w:eastAsia="Times New Roman"/>
        </w:rPr>
        <w:t xml:space="preserve">ning is an important part of developing and implementing an effective Clery compliance program. We encourage school officials to re-examine their campus safety and general Title IV policies and procedures on a regular basis to ensure that they continue to </w:t>
      </w:r>
      <w:r>
        <w:rPr>
          <w:rFonts w:eastAsia="Times New Roman"/>
        </w:rPr>
        <w:t>reflect current institutional practices and are compliant with Federal law. The Department offers several training resources to help. You can access training materials at http://www2.ed.gov/admins/lead/safety/campus.html and https://fsatraining.ed.gov/. Yo</w:t>
      </w:r>
      <w:r>
        <w:rPr>
          <w:rFonts w:eastAsia="Times New Roman"/>
        </w:rPr>
        <w:t>u can also learn more about FSA’s virtual training resources here - https://fsaconferences.ed.gov/conferences/library/2020/2020FSAConfSessionBO1.pdf. The Department also supports live training events on campus safety and Clery Act compliance throughout the</w:t>
      </w:r>
      <w:r>
        <w:rPr>
          <w:rFonts w:eastAsia="Times New Roman"/>
        </w:rPr>
        <w:t xml:space="preserve"> year.</w:t>
      </w:r>
    </w:p>
    <w:p w14:paraId="76398226" w14:textId="77777777" w:rsidR="00000000" w:rsidRDefault="007744AC">
      <w:pPr>
        <w:rPr>
          <w:rFonts w:eastAsia="Times New Roman"/>
        </w:rPr>
      </w:pPr>
      <w:r>
        <w:rPr>
          <w:rFonts w:eastAsia="Times New Roman"/>
        </w:rPr>
        <w:br/>
      </w:r>
      <w:r>
        <w:rPr>
          <w:rFonts w:eastAsia="Times New Roman"/>
          <w:b/>
          <w:bCs/>
        </w:rPr>
        <w:t>Question:</w:t>
      </w:r>
      <w:r>
        <w:rPr>
          <w:rFonts w:eastAsia="Times New Roman"/>
        </w:rPr>
        <w:t xml:space="preserve"> </w:t>
      </w:r>
    </w:p>
    <w:p w14:paraId="1742D59B" w14:textId="77777777" w:rsidR="00000000" w:rsidRDefault="007744AC">
      <w:pPr>
        <w:divId w:val="1075053048"/>
        <w:rPr>
          <w:rFonts w:eastAsia="Times New Roman"/>
        </w:rPr>
      </w:pPr>
      <w:r>
        <w:rPr>
          <w:rFonts w:eastAsia="Times New Roman"/>
        </w:rPr>
        <w:t>Question regarding the Clery geography example of the ABC beauty school. Do the yellow lines around the parking lot, indicate that the parking lot as a whole is part of the Clery geography?</w:t>
      </w:r>
    </w:p>
    <w:p w14:paraId="7A096110" w14:textId="77777777" w:rsidR="00000000" w:rsidRDefault="007744AC">
      <w:pPr>
        <w:divId w:val="577180314"/>
        <w:rPr>
          <w:rFonts w:eastAsia="Times New Roman"/>
        </w:rPr>
      </w:pPr>
      <w:r>
        <w:rPr>
          <w:rFonts w:eastAsia="Times New Roman"/>
          <w:b/>
          <w:bCs/>
        </w:rPr>
        <w:t>Response:</w:t>
      </w:r>
      <w:r>
        <w:rPr>
          <w:rFonts w:eastAsia="Times New Roman"/>
        </w:rPr>
        <w:t xml:space="preserve"> </w:t>
      </w:r>
    </w:p>
    <w:p w14:paraId="54DDA723" w14:textId="77777777" w:rsidR="00000000" w:rsidRDefault="007744AC">
      <w:pPr>
        <w:divId w:val="33968748"/>
        <w:rPr>
          <w:rFonts w:eastAsia="Times New Roman"/>
        </w:rPr>
      </w:pPr>
      <w:r>
        <w:rPr>
          <w:rFonts w:eastAsia="Times New Roman"/>
        </w:rPr>
        <w:t>[SME] Moore: Thank you for another r</w:t>
      </w:r>
      <w:r>
        <w:rPr>
          <w:rFonts w:eastAsia="Times New Roman"/>
        </w:rPr>
        <w:t>eally good question about Clery Geography (CG). An institution’s CG campus boundaries are based on the buildings and properties that the school owns or controls for educational purposes. Generally speaking, the campus CG for a school located in a plaza set</w:t>
      </w:r>
      <w:r>
        <w:rPr>
          <w:rFonts w:eastAsia="Times New Roman"/>
        </w:rPr>
        <w:t xml:space="preserve">ting would only include the buildings and other spaces, such as parking areas, that it controls by leasehold. In this example, the school’s lease includes parking spaces for students and employees. As such, the parking lot is part of this school’s campus. </w:t>
      </w:r>
      <w:r>
        <w:rPr>
          <w:rFonts w:eastAsia="Times New Roman"/>
        </w:rPr>
        <w:t>If specific parking spaces were designated for the exclusive use of students and staff, then only those spots would be included as part of the school’s campus. The yellow lines show the public property boundaries that, in essence, begin where the campus bo</w:t>
      </w:r>
      <w:r>
        <w:rPr>
          <w:rFonts w:eastAsia="Times New Roman"/>
        </w:rPr>
        <w:t>undary ends. Please feel free to contact us to discuss other factors that may affect your school’s CG boundaries.</w:t>
      </w:r>
    </w:p>
    <w:p w14:paraId="5661BB29" w14:textId="77777777" w:rsidR="00000000" w:rsidRDefault="007744AC">
      <w:pPr>
        <w:rPr>
          <w:rFonts w:eastAsia="Times New Roman"/>
        </w:rPr>
      </w:pPr>
      <w:r>
        <w:rPr>
          <w:rFonts w:eastAsia="Times New Roman"/>
        </w:rPr>
        <w:br/>
      </w:r>
      <w:r>
        <w:rPr>
          <w:rFonts w:eastAsia="Times New Roman"/>
          <w:b/>
          <w:bCs/>
        </w:rPr>
        <w:t>Question:</w:t>
      </w:r>
      <w:r>
        <w:rPr>
          <w:rFonts w:eastAsia="Times New Roman"/>
        </w:rPr>
        <w:t xml:space="preserve"> </w:t>
      </w:r>
    </w:p>
    <w:p w14:paraId="7E55FEBD" w14:textId="77777777" w:rsidR="00000000" w:rsidRDefault="007744AC">
      <w:pPr>
        <w:divId w:val="1316760351"/>
        <w:rPr>
          <w:rFonts w:eastAsia="Times New Roman"/>
        </w:rPr>
      </w:pPr>
      <w:r>
        <w:rPr>
          <w:rFonts w:eastAsia="Times New Roman"/>
        </w:rPr>
        <w:t>If the college offers a classroom in an indoor mall, we do not own the mall we lease a suite in the building to teach. Does the en</w:t>
      </w:r>
      <w:r>
        <w:rPr>
          <w:rFonts w:eastAsia="Times New Roman"/>
        </w:rPr>
        <w:t>tire mall fall under clery or just the area we lease.</w:t>
      </w:r>
    </w:p>
    <w:p w14:paraId="441A999D" w14:textId="77777777" w:rsidR="00000000" w:rsidRDefault="007744AC">
      <w:pPr>
        <w:divId w:val="786965"/>
        <w:rPr>
          <w:rFonts w:eastAsia="Times New Roman"/>
        </w:rPr>
      </w:pPr>
      <w:r>
        <w:rPr>
          <w:rFonts w:eastAsia="Times New Roman"/>
          <w:b/>
          <w:bCs/>
        </w:rPr>
        <w:t>Response:</w:t>
      </w:r>
      <w:r>
        <w:rPr>
          <w:rFonts w:eastAsia="Times New Roman"/>
        </w:rPr>
        <w:t xml:space="preserve"> </w:t>
      </w:r>
    </w:p>
    <w:p w14:paraId="4B83E6BD" w14:textId="77777777" w:rsidR="00000000" w:rsidRDefault="007744AC">
      <w:pPr>
        <w:divId w:val="1813867307"/>
        <w:rPr>
          <w:rFonts w:eastAsia="Times New Roman"/>
        </w:rPr>
      </w:pPr>
      <w:r>
        <w:rPr>
          <w:rFonts w:eastAsia="Times New Roman"/>
        </w:rPr>
        <w:t>[SME] Moore: Excellent question! In a mall setting, a school’s campus is generally limited to the buildings and properties that it controls by leasehold for educational purposes. Depending on</w:t>
      </w:r>
      <w:r>
        <w:rPr>
          <w:rFonts w:eastAsia="Times New Roman"/>
        </w:rPr>
        <w:t xml:space="preserve"> the terms of the lease, the institution may also have to include certain parking areas used by students and employees. If specific parking spaces were designated for the exclusive use of students and staff, only those spots would be included as part of th</w:t>
      </w:r>
      <w:r>
        <w:rPr>
          <w:rFonts w:eastAsia="Times New Roman"/>
        </w:rPr>
        <w:t>e school’s CG. Finally, the institution must account for the entryway(s) that students and employees are instructed to use to access or exit the classroom space. Please feel free to contact us to discuss other factors that may affect your school’s CG bound</w:t>
      </w:r>
      <w:r>
        <w:rPr>
          <w:rFonts w:eastAsia="Times New Roman"/>
        </w:rPr>
        <w:t>aries.</w:t>
      </w:r>
    </w:p>
    <w:p w14:paraId="1E37BE2C" w14:textId="77777777" w:rsidR="00000000" w:rsidRDefault="007744AC">
      <w:pPr>
        <w:rPr>
          <w:rFonts w:eastAsia="Times New Roman"/>
        </w:rPr>
      </w:pPr>
      <w:r>
        <w:rPr>
          <w:rFonts w:eastAsia="Times New Roman"/>
        </w:rPr>
        <w:br/>
      </w:r>
      <w:r>
        <w:rPr>
          <w:rFonts w:eastAsia="Times New Roman"/>
          <w:b/>
          <w:bCs/>
        </w:rPr>
        <w:t>Question:</w:t>
      </w:r>
      <w:r>
        <w:rPr>
          <w:rFonts w:eastAsia="Times New Roman"/>
        </w:rPr>
        <w:t xml:space="preserve"> </w:t>
      </w:r>
    </w:p>
    <w:p w14:paraId="5B876BD5" w14:textId="77777777" w:rsidR="00000000" w:rsidRDefault="007744AC">
      <w:pPr>
        <w:divId w:val="480315217"/>
        <w:rPr>
          <w:rFonts w:eastAsia="Times New Roman"/>
        </w:rPr>
      </w:pPr>
      <w:r>
        <w:rPr>
          <w:rFonts w:eastAsia="Times New Roman"/>
        </w:rPr>
        <w:t>In slide 18, are the parking lots Clery Geography?</w:t>
      </w:r>
    </w:p>
    <w:p w14:paraId="7540C003" w14:textId="77777777" w:rsidR="00000000" w:rsidRDefault="007744AC">
      <w:pPr>
        <w:divId w:val="1239560483"/>
        <w:rPr>
          <w:rFonts w:eastAsia="Times New Roman"/>
        </w:rPr>
      </w:pPr>
      <w:r>
        <w:rPr>
          <w:rFonts w:eastAsia="Times New Roman"/>
          <w:b/>
          <w:bCs/>
        </w:rPr>
        <w:t>Response:</w:t>
      </w:r>
      <w:r>
        <w:rPr>
          <w:rFonts w:eastAsia="Times New Roman"/>
        </w:rPr>
        <w:t xml:space="preserve"> </w:t>
      </w:r>
    </w:p>
    <w:p w14:paraId="50133A09" w14:textId="77777777" w:rsidR="00000000" w:rsidRDefault="007744AC">
      <w:pPr>
        <w:divId w:val="813331849"/>
        <w:rPr>
          <w:rFonts w:eastAsia="Times New Roman"/>
        </w:rPr>
      </w:pPr>
      <w:r>
        <w:rPr>
          <w:rFonts w:eastAsia="Times New Roman"/>
        </w:rPr>
        <w:lastRenderedPageBreak/>
        <w:t>[SME] Moore: Thank you for your question. Please see our answer to Question #5 above.</w:t>
      </w:r>
    </w:p>
    <w:p w14:paraId="0CA64A5B" w14:textId="77777777" w:rsidR="00000000" w:rsidRDefault="007744AC">
      <w:pPr>
        <w:rPr>
          <w:rFonts w:eastAsia="Times New Roman"/>
        </w:rPr>
      </w:pPr>
      <w:r>
        <w:rPr>
          <w:rFonts w:eastAsia="Times New Roman"/>
        </w:rPr>
        <w:br/>
      </w:r>
      <w:r>
        <w:rPr>
          <w:rFonts w:eastAsia="Times New Roman"/>
          <w:b/>
          <w:bCs/>
        </w:rPr>
        <w:t>Question:</w:t>
      </w:r>
      <w:r>
        <w:rPr>
          <w:rFonts w:eastAsia="Times New Roman"/>
        </w:rPr>
        <w:t xml:space="preserve"> </w:t>
      </w:r>
    </w:p>
    <w:p w14:paraId="627F4BCA" w14:textId="77777777" w:rsidR="00000000" w:rsidRDefault="007744AC">
      <w:pPr>
        <w:divId w:val="1413702865"/>
        <w:rPr>
          <w:rFonts w:eastAsia="Times New Roman"/>
        </w:rPr>
      </w:pPr>
      <w:r>
        <w:rPr>
          <w:rFonts w:eastAsia="Times New Roman"/>
        </w:rPr>
        <w:t>Does the CLERY Act apply to foreign schools / puts any reporting obligations on foreign schools?</w:t>
      </w:r>
    </w:p>
    <w:p w14:paraId="488B7034" w14:textId="77777777" w:rsidR="00000000" w:rsidRDefault="007744AC">
      <w:pPr>
        <w:divId w:val="866715946"/>
        <w:rPr>
          <w:rFonts w:eastAsia="Times New Roman"/>
        </w:rPr>
      </w:pPr>
      <w:r>
        <w:rPr>
          <w:rFonts w:eastAsia="Times New Roman"/>
          <w:b/>
          <w:bCs/>
        </w:rPr>
        <w:t>Response:</w:t>
      </w:r>
      <w:r>
        <w:rPr>
          <w:rFonts w:eastAsia="Times New Roman"/>
        </w:rPr>
        <w:t xml:space="preserve"> </w:t>
      </w:r>
    </w:p>
    <w:p w14:paraId="285C6358" w14:textId="77777777" w:rsidR="00000000" w:rsidRDefault="007744AC">
      <w:pPr>
        <w:divId w:val="1359773074"/>
        <w:rPr>
          <w:rFonts w:eastAsia="Times New Roman"/>
        </w:rPr>
      </w:pPr>
      <w:r>
        <w:rPr>
          <w:rFonts w:eastAsia="Times New Roman"/>
        </w:rPr>
        <w:t>[SME] Moore: Thank you for asking this question because the rule can be a little confusing. The Clery Act only applies to domestic institutions that</w:t>
      </w:r>
      <w:r>
        <w:rPr>
          <w:rFonts w:eastAsia="Times New Roman"/>
        </w:rPr>
        <w:t xml:space="preserve"> actually receive Title IV funds and own or control real property. As such, foreign institutions that participate in the Title IV programs are not required to comply with the Clery Act, but foreign locations of domestic schools are required to comply.</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7744AC"/>
    <w:rsid w:val="00774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8CB61"/>
  <w15:chartTrackingRefBased/>
  <w15:docId w15:val="{28D9DEFA-62C9-42E4-94A6-C863F9DD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31752">
      <w:marLeft w:val="0"/>
      <w:marRight w:val="0"/>
      <w:marTop w:val="0"/>
      <w:marBottom w:val="0"/>
      <w:divBdr>
        <w:top w:val="none" w:sz="0" w:space="0" w:color="auto"/>
        <w:left w:val="none" w:sz="0" w:space="0" w:color="auto"/>
        <w:bottom w:val="none" w:sz="0" w:space="0" w:color="auto"/>
        <w:right w:val="none" w:sz="0" w:space="0" w:color="auto"/>
      </w:divBdr>
      <w:divsChild>
        <w:div w:id="2042124731">
          <w:marLeft w:val="0"/>
          <w:marRight w:val="0"/>
          <w:marTop w:val="0"/>
          <w:marBottom w:val="0"/>
          <w:divBdr>
            <w:top w:val="none" w:sz="0" w:space="0" w:color="auto"/>
            <w:left w:val="none" w:sz="0" w:space="0" w:color="auto"/>
            <w:bottom w:val="none" w:sz="0" w:space="0" w:color="auto"/>
            <w:right w:val="none" w:sz="0" w:space="0" w:color="auto"/>
          </w:divBdr>
        </w:div>
        <w:div w:id="1917208568">
          <w:marLeft w:val="0"/>
          <w:marRight w:val="0"/>
          <w:marTop w:val="0"/>
          <w:marBottom w:val="0"/>
          <w:divBdr>
            <w:top w:val="none" w:sz="0" w:space="0" w:color="auto"/>
            <w:left w:val="none" w:sz="0" w:space="0" w:color="auto"/>
            <w:bottom w:val="none" w:sz="0" w:space="0" w:color="auto"/>
            <w:right w:val="none" w:sz="0" w:space="0" w:color="auto"/>
          </w:divBdr>
          <w:divsChild>
            <w:div w:id="1634099226">
              <w:marLeft w:val="0"/>
              <w:marRight w:val="0"/>
              <w:marTop w:val="0"/>
              <w:marBottom w:val="0"/>
              <w:divBdr>
                <w:top w:val="none" w:sz="0" w:space="0" w:color="auto"/>
                <w:left w:val="none" w:sz="0" w:space="0" w:color="auto"/>
                <w:bottom w:val="none" w:sz="0" w:space="0" w:color="auto"/>
                <w:right w:val="none" w:sz="0" w:space="0" w:color="auto"/>
              </w:divBdr>
              <w:divsChild>
                <w:div w:id="202154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489528">
      <w:marLeft w:val="0"/>
      <w:marRight w:val="0"/>
      <w:marTop w:val="0"/>
      <w:marBottom w:val="0"/>
      <w:divBdr>
        <w:top w:val="none" w:sz="0" w:space="0" w:color="auto"/>
        <w:left w:val="none" w:sz="0" w:space="0" w:color="auto"/>
        <w:bottom w:val="none" w:sz="0" w:space="0" w:color="auto"/>
        <w:right w:val="none" w:sz="0" w:space="0" w:color="auto"/>
      </w:divBdr>
      <w:divsChild>
        <w:div w:id="1067532688">
          <w:marLeft w:val="0"/>
          <w:marRight w:val="0"/>
          <w:marTop w:val="0"/>
          <w:marBottom w:val="0"/>
          <w:divBdr>
            <w:top w:val="none" w:sz="0" w:space="0" w:color="auto"/>
            <w:left w:val="none" w:sz="0" w:space="0" w:color="auto"/>
            <w:bottom w:val="none" w:sz="0" w:space="0" w:color="auto"/>
            <w:right w:val="none" w:sz="0" w:space="0" w:color="auto"/>
          </w:divBdr>
        </w:div>
        <w:div w:id="1425414570">
          <w:marLeft w:val="0"/>
          <w:marRight w:val="0"/>
          <w:marTop w:val="0"/>
          <w:marBottom w:val="0"/>
          <w:divBdr>
            <w:top w:val="none" w:sz="0" w:space="0" w:color="auto"/>
            <w:left w:val="none" w:sz="0" w:space="0" w:color="auto"/>
            <w:bottom w:val="none" w:sz="0" w:space="0" w:color="auto"/>
            <w:right w:val="none" w:sz="0" w:space="0" w:color="auto"/>
          </w:divBdr>
          <w:divsChild>
            <w:div w:id="1761215857">
              <w:marLeft w:val="0"/>
              <w:marRight w:val="0"/>
              <w:marTop w:val="0"/>
              <w:marBottom w:val="0"/>
              <w:divBdr>
                <w:top w:val="none" w:sz="0" w:space="0" w:color="auto"/>
                <w:left w:val="none" w:sz="0" w:space="0" w:color="auto"/>
                <w:bottom w:val="none" w:sz="0" w:space="0" w:color="auto"/>
                <w:right w:val="none" w:sz="0" w:space="0" w:color="auto"/>
              </w:divBdr>
              <w:divsChild>
                <w:div w:id="136151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402941">
      <w:marLeft w:val="0"/>
      <w:marRight w:val="0"/>
      <w:marTop w:val="0"/>
      <w:marBottom w:val="0"/>
      <w:divBdr>
        <w:top w:val="none" w:sz="0" w:space="0" w:color="auto"/>
        <w:left w:val="none" w:sz="0" w:space="0" w:color="auto"/>
        <w:bottom w:val="none" w:sz="0" w:space="0" w:color="auto"/>
        <w:right w:val="none" w:sz="0" w:space="0" w:color="auto"/>
      </w:divBdr>
      <w:divsChild>
        <w:div w:id="1413702865">
          <w:marLeft w:val="0"/>
          <w:marRight w:val="0"/>
          <w:marTop w:val="0"/>
          <w:marBottom w:val="0"/>
          <w:divBdr>
            <w:top w:val="none" w:sz="0" w:space="0" w:color="auto"/>
            <w:left w:val="none" w:sz="0" w:space="0" w:color="auto"/>
            <w:bottom w:val="none" w:sz="0" w:space="0" w:color="auto"/>
            <w:right w:val="none" w:sz="0" w:space="0" w:color="auto"/>
          </w:divBdr>
        </w:div>
        <w:div w:id="866715946">
          <w:marLeft w:val="0"/>
          <w:marRight w:val="0"/>
          <w:marTop w:val="0"/>
          <w:marBottom w:val="0"/>
          <w:divBdr>
            <w:top w:val="none" w:sz="0" w:space="0" w:color="auto"/>
            <w:left w:val="none" w:sz="0" w:space="0" w:color="auto"/>
            <w:bottom w:val="none" w:sz="0" w:space="0" w:color="auto"/>
            <w:right w:val="none" w:sz="0" w:space="0" w:color="auto"/>
          </w:divBdr>
          <w:divsChild>
            <w:div w:id="1947735580">
              <w:marLeft w:val="0"/>
              <w:marRight w:val="0"/>
              <w:marTop w:val="0"/>
              <w:marBottom w:val="0"/>
              <w:divBdr>
                <w:top w:val="none" w:sz="0" w:space="0" w:color="auto"/>
                <w:left w:val="none" w:sz="0" w:space="0" w:color="auto"/>
                <w:bottom w:val="none" w:sz="0" w:space="0" w:color="auto"/>
                <w:right w:val="none" w:sz="0" w:space="0" w:color="auto"/>
              </w:divBdr>
              <w:divsChild>
                <w:div w:id="13597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669580">
      <w:marLeft w:val="0"/>
      <w:marRight w:val="0"/>
      <w:marTop w:val="0"/>
      <w:marBottom w:val="0"/>
      <w:divBdr>
        <w:top w:val="none" w:sz="0" w:space="0" w:color="auto"/>
        <w:left w:val="none" w:sz="0" w:space="0" w:color="auto"/>
        <w:bottom w:val="none" w:sz="0" w:space="0" w:color="auto"/>
        <w:right w:val="none" w:sz="0" w:space="0" w:color="auto"/>
      </w:divBdr>
      <w:divsChild>
        <w:div w:id="1075053048">
          <w:marLeft w:val="0"/>
          <w:marRight w:val="0"/>
          <w:marTop w:val="0"/>
          <w:marBottom w:val="0"/>
          <w:divBdr>
            <w:top w:val="none" w:sz="0" w:space="0" w:color="auto"/>
            <w:left w:val="none" w:sz="0" w:space="0" w:color="auto"/>
            <w:bottom w:val="none" w:sz="0" w:space="0" w:color="auto"/>
            <w:right w:val="none" w:sz="0" w:space="0" w:color="auto"/>
          </w:divBdr>
        </w:div>
        <w:div w:id="577180314">
          <w:marLeft w:val="0"/>
          <w:marRight w:val="0"/>
          <w:marTop w:val="0"/>
          <w:marBottom w:val="0"/>
          <w:divBdr>
            <w:top w:val="none" w:sz="0" w:space="0" w:color="auto"/>
            <w:left w:val="none" w:sz="0" w:space="0" w:color="auto"/>
            <w:bottom w:val="none" w:sz="0" w:space="0" w:color="auto"/>
            <w:right w:val="none" w:sz="0" w:space="0" w:color="auto"/>
          </w:divBdr>
          <w:divsChild>
            <w:div w:id="133722771">
              <w:marLeft w:val="0"/>
              <w:marRight w:val="0"/>
              <w:marTop w:val="0"/>
              <w:marBottom w:val="0"/>
              <w:divBdr>
                <w:top w:val="none" w:sz="0" w:space="0" w:color="auto"/>
                <w:left w:val="none" w:sz="0" w:space="0" w:color="auto"/>
                <w:bottom w:val="none" w:sz="0" w:space="0" w:color="auto"/>
                <w:right w:val="none" w:sz="0" w:space="0" w:color="auto"/>
              </w:divBdr>
              <w:divsChild>
                <w:div w:id="3396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250245">
      <w:marLeft w:val="0"/>
      <w:marRight w:val="0"/>
      <w:marTop w:val="0"/>
      <w:marBottom w:val="0"/>
      <w:divBdr>
        <w:top w:val="none" w:sz="0" w:space="0" w:color="auto"/>
        <w:left w:val="none" w:sz="0" w:space="0" w:color="auto"/>
        <w:bottom w:val="none" w:sz="0" w:space="0" w:color="auto"/>
        <w:right w:val="none" w:sz="0" w:space="0" w:color="auto"/>
      </w:divBdr>
      <w:divsChild>
        <w:div w:id="1622684323">
          <w:marLeft w:val="0"/>
          <w:marRight w:val="0"/>
          <w:marTop w:val="0"/>
          <w:marBottom w:val="0"/>
          <w:divBdr>
            <w:top w:val="none" w:sz="0" w:space="0" w:color="auto"/>
            <w:left w:val="none" w:sz="0" w:space="0" w:color="auto"/>
            <w:bottom w:val="none" w:sz="0" w:space="0" w:color="auto"/>
            <w:right w:val="none" w:sz="0" w:space="0" w:color="auto"/>
          </w:divBdr>
        </w:div>
        <w:div w:id="1051997415">
          <w:marLeft w:val="0"/>
          <w:marRight w:val="0"/>
          <w:marTop w:val="0"/>
          <w:marBottom w:val="0"/>
          <w:divBdr>
            <w:top w:val="none" w:sz="0" w:space="0" w:color="auto"/>
            <w:left w:val="none" w:sz="0" w:space="0" w:color="auto"/>
            <w:bottom w:val="none" w:sz="0" w:space="0" w:color="auto"/>
            <w:right w:val="none" w:sz="0" w:space="0" w:color="auto"/>
          </w:divBdr>
          <w:divsChild>
            <w:div w:id="621035953">
              <w:marLeft w:val="0"/>
              <w:marRight w:val="0"/>
              <w:marTop w:val="0"/>
              <w:marBottom w:val="0"/>
              <w:divBdr>
                <w:top w:val="none" w:sz="0" w:space="0" w:color="auto"/>
                <w:left w:val="none" w:sz="0" w:space="0" w:color="auto"/>
                <w:bottom w:val="none" w:sz="0" w:space="0" w:color="auto"/>
                <w:right w:val="none" w:sz="0" w:space="0" w:color="auto"/>
              </w:divBdr>
              <w:divsChild>
                <w:div w:id="6912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052087">
      <w:marLeft w:val="0"/>
      <w:marRight w:val="0"/>
      <w:marTop w:val="0"/>
      <w:marBottom w:val="0"/>
      <w:divBdr>
        <w:top w:val="none" w:sz="0" w:space="0" w:color="auto"/>
        <w:left w:val="none" w:sz="0" w:space="0" w:color="auto"/>
        <w:bottom w:val="none" w:sz="0" w:space="0" w:color="auto"/>
        <w:right w:val="none" w:sz="0" w:space="0" w:color="auto"/>
      </w:divBdr>
      <w:divsChild>
        <w:div w:id="480315217">
          <w:marLeft w:val="0"/>
          <w:marRight w:val="0"/>
          <w:marTop w:val="0"/>
          <w:marBottom w:val="0"/>
          <w:divBdr>
            <w:top w:val="none" w:sz="0" w:space="0" w:color="auto"/>
            <w:left w:val="none" w:sz="0" w:space="0" w:color="auto"/>
            <w:bottom w:val="none" w:sz="0" w:space="0" w:color="auto"/>
            <w:right w:val="none" w:sz="0" w:space="0" w:color="auto"/>
          </w:divBdr>
        </w:div>
        <w:div w:id="1239560483">
          <w:marLeft w:val="0"/>
          <w:marRight w:val="0"/>
          <w:marTop w:val="0"/>
          <w:marBottom w:val="0"/>
          <w:divBdr>
            <w:top w:val="none" w:sz="0" w:space="0" w:color="auto"/>
            <w:left w:val="none" w:sz="0" w:space="0" w:color="auto"/>
            <w:bottom w:val="none" w:sz="0" w:space="0" w:color="auto"/>
            <w:right w:val="none" w:sz="0" w:space="0" w:color="auto"/>
          </w:divBdr>
          <w:divsChild>
            <w:div w:id="1048721500">
              <w:marLeft w:val="0"/>
              <w:marRight w:val="0"/>
              <w:marTop w:val="0"/>
              <w:marBottom w:val="0"/>
              <w:divBdr>
                <w:top w:val="none" w:sz="0" w:space="0" w:color="auto"/>
                <w:left w:val="none" w:sz="0" w:space="0" w:color="auto"/>
                <w:bottom w:val="none" w:sz="0" w:space="0" w:color="auto"/>
                <w:right w:val="none" w:sz="0" w:space="0" w:color="auto"/>
              </w:divBdr>
              <w:divsChild>
                <w:div w:id="81333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528618">
      <w:marLeft w:val="0"/>
      <w:marRight w:val="0"/>
      <w:marTop w:val="0"/>
      <w:marBottom w:val="0"/>
      <w:divBdr>
        <w:top w:val="none" w:sz="0" w:space="0" w:color="auto"/>
        <w:left w:val="none" w:sz="0" w:space="0" w:color="auto"/>
        <w:bottom w:val="none" w:sz="0" w:space="0" w:color="auto"/>
        <w:right w:val="none" w:sz="0" w:space="0" w:color="auto"/>
      </w:divBdr>
      <w:divsChild>
        <w:div w:id="1316760351">
          <w:marLeft w:val="0"/>
          <w:marRight w:val="0"/>
          <w:marTop w:val="0"/>
          <w:marBottom w:val="0"/>
          <w:divBdr>
            <w:top w:val="none" w:sz="0" w:space="0" w:color="auto"/>
            <w:left w:val="none" w:sz="0" w:space="0" w:color="auto"/>
            <w:bottom w:val="none" w:sz="0" w:space="0" w:color="auto"/>
            <w:right w:val="none" w:sz="0" w:space="0" w:color="auto"/>
          </w:divBdr>
        </w:div>
        <w:div w:id="786965">
          <w:marLeft w:val="0"/>
          <w:marRight w:val="0"/>
          <w:marTop w:val="0"/>
          <w:marBottom w:val="0"/>
          <w:divBdr>
            <w:top w:val="none" w:sz="0" w:space="0" w:color="auto"/>
            <w:left w:val="none" w:sz="0" w:space="0" w:color="auto"/>
            <w:bottom w:val="none" w:sz="0" w:space="0" w:color="auto"/>
            <w:right w:val="none" w:sz="0" w:space="0" w:color="auto"/>
          </w:divBdr>
          <w:divsChild>
            <w:div w:id="1787460950">
              <w:marLeft w:val="0"/>
              <w:marRight w:val="0"/>
              <w:marTop w:val="0"/>
              <w:marBottom w:val="0"/>
              <w:divBdr>
                <w:top w:val="none" w:sz="0" w:space="0" w:color="auto"/>
                <w:left w:val="none" w:sz="0" w:space="0" w:color="auto"/>
                <w:bottom w:val="none" w:sz="0" w:space="0" w:color="auto"/>
                <w:right w:val="none" w:sz="0" w:space="0" w:color="auto"/>
              </w:divBdr>
              <w:divsChild>
                <w:div w:id="18138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870687">
      <w:marLeft w:val="0"/>
      <w:marRight w:val="0"/>
      <w:marTop w:val="0"/>
      <w:marBottom w:val="0"/>
      <w:divBdr>
        <w:top w:val="none" w:sz="0" w:space="0" w:color="auto"/>
        <w:left w:val="none" w:sz="0" w:space="0" w:color="auto"/>
        <w:bottom w:val="none" w:sz="0" w:space="0" w:color="auto"/>
        <w:right w:val="none" w:sz="0" w:space="0" w:color="auto"/>
      </w:divBdr>
      <w:divsChild>
        <w:div w:id="179780491">
          <w:marLeft w:val="0"/>
          <w:marRight w:val="0"/>
          <w:marTop w:val="0"/>
          <w:marBottom w:val="0"/>
          <w:divBdr>
            <w:top w:val="none" w:sz="0" w:space="0" w:color="auto"/>
            <w:left w:val="none" w:sz="0" w:space="0" w:color="auto"/>
            <w:bottom w:val="none" w:sz="0" w:space="0" w:color="auto"/>
            <w:right w:val="none" w:sz="0" w:space="0" w:color="auto"/>
          </w:divBdr>
        </w:div>
        <w:div w:id="56635655">
          <w:marLeft w:val="0"/>
          <w:marRight w:val="0"/>
          <w:marTop w:val="0"/>
          <w:marBottom w:val="0"/>
          <w:divBdr>
            <w:top w:val="none" w:sz="0" w:space="0" w:color="auto"/>
            <w:left w:val="none" w:sz="0" w:space="0" w:color="auto"/>
            <w:bottom w:val="none" w:sz="0" w:space="0" w:color="auto"/>
            <w:right w:val="none" w:sz="0" w:space="0" w:color="auto"/>
          </w:divBdr>
          <w:divsChild>
            <w:div w:id="1960065512">
              <w:marLeft w:val="0"/>
              <w:marRight w:val="0"/>
              <w:marTop w:val="0"/>
              <w:marBottom w:val="0"/>
              <w:divBdr>
                <w:top w:val="none" w:sz="0" w:space="0" w:color="auto"/>
                <w:left w:val="none" w:sz="0" w:space="0" w:color="auto"/>
                <w:bottom w:val="none" w:sz="0" w:space="0" w:color="auto"/>
                <w:right w:val="none" w:sz="0" w:space="0" w:color="auto"/>
              </w:divBdr>
              <w:divsChild>
                <w:div w:id="138583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1054</Words>
  <Characters>5686</Characters>
  <Application>Microsoft Office Word</Application>
  <DocSecurity>0</DocSecurity>
  <Lines>47</Lines>
  <Paragraphs>13</Paragraphs>
  <ScaleCrop>false</ScaleCrop>
  <Company>Department of Education</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2023-01-20T15:31:00Z</dcterms:created>
  <dcterms:modified xsi:type="dcterms:W3CDTF">2023-01-20T15:31:00Z</dcterms:modified>
</cp:coreProperties>
</file>