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B55" w14:textId="77777777" w:rsidR="000B5A6F" w:rsidRPr="000B5A6F" w:rsidRDefault="00F56A0A" w:rsidP="000B5A6F">
      <w:pPr>
        <w:pStyle w:val="Header"/>
        <w:tabs>
          <w:tab w:val="clear" w:pos="4320"/>
          <w:tab w:val="clear" w:pos="8640"/>
        </w:tabs>
        <w:rPr>
          <w:rFonts w:ascii="Arial" w:hAnsi="Arial"/>
          <w:b/>
          <w:color w:val="006287"/>
        </w:rPr>
      </w:pPr>
      <w:r>
        <w:rPr>
          <w:rFonts w:ascii="Arial" w:hAnsi="Arial"/>
          <w:b/>
          <w:color w:val="006287"/>
        </w:rPr>
        <w:t>DE</w:t>
      </w:r>
      <w:r w:rsidR="000B5A6F" w:rsidRPr="000B5A6F">
        <w:rPr>
          <w:rFonts w:ascii="Arial" w:hAnsi="Arial"/>
          <w:b/>
          <w:color w:val="006287"/>
        </w:rPr>
        <w:t>FAULT PREVENTION (FEDERAL</w:t>
      </w:r>
      <w:r w:rsidR="004B1F76">
        <w:rPr>
          <w:rFonts w:ascii="Arial" w:hAnsi="Arial"/>
          <w:b/>
          <w:color w:val="006287"/>
        </w:rPr>
        <w:t xml:space="preserve"> </w:t>
      </w:r>
      <w:r w:rsidR="000B5A6F" w:rsidRPr="000B5A6F">
        <w:rPr>
          <w:rFonts w:ascii="Arial" w:hAnsi="Arial"/>
          <w:b/>
          <w:color w:val="006287"/>
        </w:rPr>
        <w:t>REQUIREMENTS)</w:t>
      </w:r>
    </w:p>
    <w:p w14:paraId="6B8571B4" w14:textId="77777777" w:rsidR="00F56A0A" w:rsidRDefault="00F56A0A" w:rsidP="000B5A6F">
      <w:pPr>
        <w:pStyle w:val="Title"/>
        <w:rPr>
          <w:i w:val="0"/>
        </w:rPr>
      </w:pPr>
    </w:p>
    <w:p w14:paraId="796800E5" w14:textId="77777777" w:rsidR="000B5A6F" w:rsidRPr="00477054" w:rsidRDefault="000B5A6F" w:rsidP="000B5A6F">
      <w:pPr>
        <w:pStyle w:val="Title"/>
        <w:rPr>
          <w:i w:val="0"/>
        </w:rPr>
      </w:pPr>
      <w:r w:rsidRPr="00477054">
        <w:rPr>
          <w:i w:val="0"/>
        </w:rPr>
        <w:t xml:space="preserve">Federal regulations and statutes contain many default prevention measures designed to ensure that students do not default on their Title IV </w:t>
      </w:r>
      <w:r w:rsidR="00696BDB" w:rsidRPr="00477054">
        <w:rPr>
          <w:i w:val="0"/>
        </w:rPr>
        <w:t>l</w:t>
      </w:r>
      <w:r w:rsidRPr="00477054">
        <w:rPr>
          <w:i w:val="0"/>
        </w:rPr>
        <w:t>oans.  The default provisions contained in federal regulations and statutes may not specifically state that they are default prevention measures, but these provisions ensure that the student:</w:t>
      </w:r>
    </w:p>
    <w:p w14:paraId="25F750CC" w14:textId="77777777" w:rsidR="000B5A6F" w:rsidRPr="00477054" w:rsidRDefault="000B5A6F" w:rsidP="000B5A6F">
      <w:pPr>
        <w:pStyle w:val="Title"/>
        <w:rPr>
          <w:i w:val="0"/>
        </w:rPr>
      </w:pPr>
      <w:r w:rsidRPr="00477054">
        <w:rPr>
          <w:i w:val="0"/>
        </w:rPr>
        <w:tab/>
      </w:r>
    </w:p>
    <w:p w14:paraId="1BE3627A" w14:textId="77777777" w:rsidR="000B5A6F" w:rsidRPr="00477054" w:rsidRDefault="000B5A6F" w:rsidP="000B5A6F">
      <w:pPr>
        <w:pStyle w:val="Title"/>
        <w:numPr>
          <w:ilvl w:val="0"/>
          <w:numId w:val="41"/>
        </w:numPr>
        <w:rPr>
          <w:i w:val="0"/>
        </w:rPr>
      </w:pPr>
      <w:r w:rsidRPr="00477054">
        <w:rPr>
          <w:i w:val="0"/>
        </w:rPr>
        <w:t>Knows he/she has a loan obligation and not a grant</w:t>
      </w:r>
    </w:p>
    <w:p w14:paraId="7D4596EB" w14:textId="77777777" w:rsidR="000B5A6F" w:rsidRPr="00477054" w:rsidRDefault="000B5A6F" w:rsidP="000B5A6F">
      <w:pPr>
        <w:pStyle w:val="Title"/>
        <w:numPr>
          <w:ilvl w:val="0"/>
          <w:numId w:val="41"/>
        </w:numPr>
        <w:rPr>
          <w:i w:val="0"/>
        </w:rPr>
      </w:pPr>
      <w:r w:rsidRPr="00477054">
        <w:rPr>
          <w:i w:val="0"/>
        </w:rPr>
        <w:t>Understands the terms of the loan and repayment obligation</w:t>
      </w:r>
    </w:p>
    <w:p w14:paraId="71BBA2D7" w14:textId="77777777" w:rsidR="000B5A6F" w:rsidRPr="00477054" w:rsidRDefault="000B5A6F" w:rsidP="000B5A6F">
      <w:pPr>
        <w:pStyle w:val="Title"/>
        <w:numPr>
          <w:ilvl w:val="0"/>
          <w:numId w:val="41"/>
        </w:numPr>
        <w:rPr>
          <w:i w:val="0"/>
        </w:rPr>
      </w:pPr>
      <w:r w:rsidRPr="00477054">
        <w:rPr>
          <w:i w:val="0"/>
        </w:rPr>
        <w:t>Is properly notified as to when the repayment obligation begins</w:t>
      </w:r>
    </w:p>
    <w:p w14:paraId="4662FA7B" w14:textId="77777777" w:rsidR="000B5A6F" w:rsidRPr="00477054" w:rsidRDefault="000B5A6F" w:rsidP="000B5A6F">
      <w:pPr>
        <w:pStyle w:val="Title"/>
        <w:numPr>
          <w:ilvl w:val="0"/>
          <w:numId w:val="41"/>
        </w:numPr>
        <w:rPr>
          <w:i w:val="0"/>
        </w:rPr>
      </w:pPr>
      <w:r w:rsidRPr="00477054">
        <w:rPr>
          <w:i w:val="0"/>
        </w:rPr>
        <w:t>Receives required notices relative to the loan obligation</w:t>
      </w:r>
    </w:p>
    <w:p w14:paraId="5E301B92" w14:textId="77777777" w:rsidR="000B5A6F" w:rsidRPr="00477054" w:rsidRDefault="000B5A6F" w:rsidP="000B5A6F">
      <w:pPr>
        <w:pStyle w:val="Title"/>
        <w:numPr>
          <w:ilvl w:val="0"/>
          <w:numId w:val="41"/>
        </w:numPr>
        <w:rPr>
          <w:i w:val="0"/>
        </w:rPr>
      </w:pPr>
      <w:r w:rsidRPr="00477054">
        <w:rPr>
          <w:i w:val="0"/>
        </w:rPr>
        <w:t>Begins repayment at the proper time</w:t>
      </w:r>
    </w:p>
    <w:p w14:paraId="769E968A" w14:textId="77777777" w:rsidR="0016335C" w:rsidRDefault="0016335C" w:rsidP="0016335C">
      <w:pPr>
        <w:pStyle w:val="Title"/>
        <w:rPr>
          <w:i w:val="0"/>
          <w:sz w:val="24"/>
        </w:rPr>
      </w:pPr>
    </w:p>
    <w:p w14:paraId="3D02188E" w14:textId="77777777" w:rsidR="0016335C" w:rsidRPr="00477054" w:rsidRDefault="0016335C" w:rsidP="0016335C">
      <w:pPr>
        <w:pStyle w:val="Title"/>
        <w:rPr>
          <w:i w:val="0"/>
        </w:rPr>
      </w:pPr>
      <w:r w:rsidRPr="00477054">
        <w:rPr>
          <w:i w:val="0"/>
        </w:rPr>
        <w:t>In addition to these ‘implicit’ requirements, Federal regulations also stipulate that schools undertake prescribed default prevention measures under cer</w:t>
      </w:r>
      <w:r w:rsidR="00380B80" w:rsidRPr="00477054">
        <w:rPr>
          <w:i w:val="0"/>
        </w:rPr>
        <w:t>tain conditions:</w:t>
      </w:r>
    </w:p>
    <w:p w14:paraId="1474D322" w14:textId="77777777" w:rsidR="00380B80" w:rsidRPr="00477054" w:rsidRDefault="00380B80" w:rsidP="0016335C">
      <w:pPr>
        <w:pStyle w:val="Title"/>
        <w:rPr>
          <w:i w:val="0"/>
        </w:rPr>
      </w:pPr>
    </w:p>
    <w:p w14:paraId="60D48722" w14:textId="248707A6" w:rsidR="00903AB9" w:rsidRPr="00491501" w:rsidRDefault="00903AB9" w:rsidP="00903AB9">
      <w:pPr>
        <w:rPr>
          <w:rFonts w:ascii="Arial" w:hAnsi="Arial" w:cs="Arial"/>
          <w:color w:val="333366"/>
          <w:szCs w:val="20"/>
        </w:rPr>
      </w:pPr>
      <w:r w:rsidRPr="00491501">
        <w:rPr>
          <w:rFonts w:ascii="Arial" w:hAnsi="Arial" w:cs="Arial"/>
          <w:szCs w:val="20"/>
        </w:rPr>
        <w:t xml:space="preserve">Under </w:t>
      </w:r>
      <w:hyperlink r:id="rId10" w:history="1">
        <w:r w:rsidRPr="00491501">
          <w:rPr>
            <w:rStyle w:val="Hyperlink"/>
            <w:rFonts w:cs="Arial"/>
            <w:sz w:val="20"/>
            <w:szCs w:val="20"/>
          </w:rPr>
          <w:t>34 CFR 668.14 (b) (15)</w:t>
        </w:r>
      </w:hyperlink>
      <w:r w:rsidRPr="00491501">
        <w:rPr>
          <w:rFonts w:ascii="Arial" w:hAnsi="Arial" w:cs="Arial"/>
          <w:szCs w:val="20"/>
        </w:rPr>
        <w:t xml:space="preserve">, the Department </w:t>
      </w:r>
      <w:r w:rsidR="0021608A">
        <w:rPr>
          <w:rFonts w:ascii="Arial" w:hAnsi="Arial" w:cs="Arial"/>
          <w:szCs w:val="20"/>
        </w:rPr>
        <w:t xml:space="preserve">of Education (the Department) </w:t>
      </w:r>
      <w:r w:rsidRPr="00491501">
        <w:rPr>
          <w:rFonts w:ascii="Arial" w:hAnsi="Arial" w:cs="Arial"/>
          <w:szCs w:val="20"/>
        </w:rPr>
        <w:t xml:space="preserve">requires that schools participating in the Direct Loan program for the first time, or schools </w:t>
      </w:r>
      <w:r w:rsidR="0021608A">
        <w:rPr>
          <w:rFonts w:ascii="Arial" w:hAnsi="Arial" w:cs="Arial"/>
          <w:szCs w:val="20"/>
        </w:rPr>
        <w:t xml:space="preserve">that </w:t>
      </w:r>
      <w:r w:rsidRPr="00491501">
        <w:rPr>
          <w:rFonts w:ascii="Arial" w:hAnsi="Arial" w:cs="Arial"/>
          <w:szCs w:val="20"/>
        </w:rPr>
        <w:t xml:space="preserve">have undergone a change in </w:t>
      </w:r>
      <w:r w:rsidR="0021608A">
        <w:rPr>
          <w:rFonts w:ascii="Arial" w:hAnsi="Arial" w:cs="Arial"/>
          <w:szCs w:val="20"/>
        </w:rPr>
        <w:t>ownership, which</w:t>
      </w:r>
      <w:r w:rsidRPr="00491501">
        <w:rPr>
          <w:rFonts w:ascii="Arial" w:hAnsi="Arial" w:cs="Arial"/>
          <w:szCs w:val="20"/>
        </w:rPr>
        <w:t xml:space="preserve"> resulted in a change in control, develop a default prevention plan. </w:t>
      </w:r>
      <w:r w:rsidR="005560FA">
        <w:rPr>
          <w:rFonts w:ascii="Arial" w:hAnsi="Arial" w:cs="Arial"/>
          <w:szCs w:val="20"/>
        </w:rPr>
        <w:t xml:space="preserve"> </w:t>
      </w:r>
      <w:r w:rsidRPr="00491501">
        <w:rPr>
          <w:rFonts w:ascii="Arial" w:hAnsi="Arial" w:cs="Arial"/>
          <w:szCs w:val="20"/>
        </w:rPr>
        <w:t xml:space="preserve">Schools may adopt the </w:t>
      </w:r>
      <w:hyperlink r:id="rId11" w:history="1">
        <w:r w:rsidR="00BF50A9" w:rsidRPr="00DB2322">
          <w:rPr>
            <w:rStyle w:val="Hyperlink"/>
            <w:rFonts w:cs="Arial"/>
            <w:b/>
            <w:sz w:val="20"/>
            <w:szCs w:val="20"/>
          </w:rPr>
          <w:t>Sample Default Prevention Plan included in the regulations at 34 CFR 668, Subpart N, Appendix A</w:t>
        </w:r>
      </w:hyperlink>
      <w:r w:rsidR="00BF50A9">
        <w:rPr>
          <w:rFonts w:ascii="Arial" w:hAnsi="Arial" w:cs="Arial"/>
          <w:b/>
          <w:color w:val="006287"/>
          <w:szCs w:val="20"/>
        </w:rPr>
        <w:t xml:space="preserve"> </w:t>
      </w:r>
      <w:r w:rsidRPr="00491501">
        <w:rPr>
          <w:rFonts w:ascii="Arial" w:hAnsi="Arial" w:cs="Arial"/>
          <w:szCs w:val="20"/>
        </w:rPr>
        <w:t xml:space="preserve">or they may develop a unique version of a default prevention plan. In either case, a school must not only </w:t>
      </w:r>
      <w:r w:rsidR="0021608A">
        <w:rPr>
          <w:rFonts w:ascii="Arial" w:hAnsi="Arial" w:cs="Arial"/>
          <w:szCs w:val="20"/>
        </w:rPr>
        <w:t>create or adopt a default prevention plan, but also must execute the plan</w:t>
      </w:r>
      <w:r w:rsidRPr="00491501">
        <w:rPr>
          <w:rFonts w:ascii="Arial" w:hAnsi="Arial" w:cs="Arial"/>
          <w:szCs w:val="20"/>
        </w:rPr>
        <w:t>.</w:t>
      </w:r>
    </w:p>
    <w:p w14:paraId="5450FDA4" w14:textId="77777777" w:rsidR="00380B80" w:rsidRPr="00477054" w:rsidRDefault="00380B80" w:rsidP="0016335C">
      <w:pPr>
        <w:pStyle w:val="Title"/>
        <w:rPr>
          <w:i w:val="0"/>
        </w:rPr>
      </w:pPr>
    </w:p>
    <w:p w14:paraId="421F51B2" w14:textId="226F4747" w:rsidR="00380B80" w:rsidRPr="00477054" w:rsidRDefault="00380B80" w:rsidP="00380B80">
      <w:pPr>
        <w:pStyle w:val="Title"/>
        <w:rPr>
          <w:i w:val="0"/>
        </w:rPr>
      </w:pPr>
      <w:r w:rsidRPr="00477054">
        <w:rPr>
          <w:i w:val="0"/>
        </w:rPr>
        <w:t xml:space="preserve">Under </w:t>
      </w:r>
      <w:hyperlink r:id="rId12" w:history="1">
        <w:r w:rsidRPr="00A54CD4">
          <w:rPr>
            <w:rStyle w:val="Hyperlink"/>
            <w:sz w:val="20"/>
          </w:rPr>
          <w:t>34 CFR 668.217</w:t>
        </w:r>
      </w:hyperlink>
      <w:r w:rsidRPr="00477054">
        <w:rPr>
          <w:i w:val="0"/>
        </w:rPr>
        <w:t xml:space="preserve">, </w:t>
      </w:r>
      <w:r w:rsidR="004B1F76">
        <w:rPr>
          <w:i w:val="0"/>
        </w:rPr>
        <w:t xml:space="preserve">ED </w:t>
      </w:r>
      <w:r w:rsidRPr="00477054">
        <w:rPr>
          <w:i w:val="0"/>
        </w:rPr>
        <w:t xml:space="preserve">requires </w:t>
      </w:r>
      <w:r w:rsidR="00ED1A53">
        <w:rPr>
          <w:i w:val="0"/>
        </w:rPr>
        <w:t>a school with</w:t>
      </w:r>
      <w:r w:rsidRPr="00477054">
        <w:rPr>
          <w:i w:val="0"/>
        </w:rPr>
        <w:t xml:space="preserve"> </w:t>
      </w:r>
      <w:r w:rsidR="00ED1A53">
        <w:rPr>
          <w:i w:val="0"/>
        </w:rPr>
        <w:t xml:space="preserve">a </w:t>
      </w:r>
      <w:r w:rsidRPr="00477054">
        <w:rPr>
          <w:i w:val="0"/>
        </w:rPr>
        <w:t xml:space="preserve">cohort default rate equal to or greater than 30% </w:t>
      </w:r>
      <w:r w:rsidR="00ED1A53">
        <w:rPr>
          <w:i w:val="0"/>
        </w:rPr>
        <w:t xml:space="preserve">to </w:t>
      </w:r>
      <w:r w:rsidRPr="00477054">
        <w:rPr>
          <w:i w:val="0"/>
        </w:rPr>
        <w:t>develop a default prevention plan</w:t>
      </w:r>
      <w:r w:rsidR="00ED1A53">
        <w:rPr>
          <w:i w:val="0"/>
        </w:rPr>
        <w:t>.  In creat</w:t>
      </w:r>
      <w:r w:rsidR="00B37952">
        <w:rPr>
          <w:i w:val="0"/>
        </w:rPr>
        <w:t>ing the plan, the regulations (</w:t>
      </w:r>
      <w:r w:rsidR="00ED1A53">
        <w:rPr>
          <w:i w:val="0"/>
        </w:rPr>
        <w:t>34</w:t>
      </w:r>
      <w:r w:rsidR="00B37952">
        <w:rPr>
          <w:i w:val="0"/>
        </w:rPr>
        <w:t xml:space="preserve"> </w:t>
      </w:r>
      <w:r w:rsidR="00ED1A53">
        <w:rPr>
          <w:i w:val="0"/>
        </w:rPr>
        <w:t xml:space="preserve">CFR </w:t>
      </w:r>
      <w:r w:rsidR="00B37952">
        <w:rPr>
          <w:i w:val="0"/>
        </w:rPr>
        <w:t>668</w:t>
      </w:r>
      <w:r w:rsidR="00ED1A53">
        <w:rPr>
          <w:i w:val="0"/>
        </w:rPr>
        <w:t xml:space="preserve">.217) require the school </w:t>
      </w:r>
      <w:r w:rsidR="00ED1A53">
        <w:rPr>
          <w:i w:val="0"/>
          <w:u w:val="single"/>
        </w:rPr>
        <w:t>to:</w:t>
      </w:r>
    </w:p>
    <w:p w14:paraId="468E00B1" w14:textId="77777777" w:rsidR="00477054" w:rsidRPr="00477054" w:rsidRDefault="005833AB" w:rsidP="00380B80">
      <w:pPr>
        <w:pStyle w:val="Title"/>
        <w:rPr>
          <w:i w:val="0"/>
        </w:rPr>
      </w:pPr>
      <w:r w:rsidRPr="00477054">
        <w:rPr>
          <w:i w:val="0"/>
        </w:rPr>
        <w:tab/>
      </w:r>
    </w:p>
    <w:p w14:paraId="50BD56C6" w14:textId="77777777" w:rsidR="00380B80" w:rsidRPr="00477054" w:rsidRDefault="00380B80" w:rsidP="00477054">
      <w:pPr>
        <w:pStyle w:val="Title"/>
        <w:numPr>
          <w:ilvl w:val="0"/>
          <w:numId w:val="45"/>
        </w:numPr>
        <w:rPr>
          <w:i w:val="0"/>
        </w:rPr>
      </w:pPr>
      <w:r w:rsidRPr="00477054">
        <w:rPr>
          <w:i w:val="0"/>
        </w:rPr>
        <w:t>Establish a default prevention task force</w:t>
      </w:r>
    </w:p>
    <w:p w14:paraId="0AB6C6EB" w14:textId="77777777" w:rsidR="00380B80" w:rsidRPr="00477054" w:rsidRDefault="00380B80" w:rsidP="00477054">
      <w:pPr>
        <w:pStyle w:val="Title"/>
        <w:numPr>
          <w:ilvl w:val="0"/>
          <w:numId w:val="45"/>
        </w:numPr>
        <w:rPr>
          <w:i w:val="0"/>
        </w:rPr>
      </w:pPr>
      <w:r w:rsidRPr="00477054">
        <w:rPr>
          <w:i w:val="0"/>
        </w:rPr>
        <w:t>Identify the factors causing the default rate to exceed the threshold</w:t>
      </w:r>
    </w:p>
    <w:p w14:paraId="20F9E8CF" w14:textId="220E4064" w:rsidR="00380B80" w:rsidRPr="00477054" w:rsidRDefault="00380B80" w:rsidP="00477054">
      <w:pPr>
        <w:pStyle w:val="Title"/>
        <w:numPr>
          <w:ilvl w:val="0"/>
          <w:numId w:val="45"/>
        </w:numPr>
        <w:rPr>
          <w:i w:val="0"/>
        </w:rPr>
      </w:pPr>
      <w:r w:rsidRPr="00477054">
        <w:rPr>
          <w:i w:val="0"/>
        </w:rPr>
        <w:t xml:space="preserve">Establish </w:t>
      </w:r>
      <w:r w:rsidR="002F06C3" w:rsidRPr="00477054">
        <w:rPr>
          <w:i w:val="0"/>
        </w:rPr>
        <w:t>measurable</w:t>
      </w:r>
      <w:r w:rsidRPr="00477054">
        <w:rPr>
          <w:i w:val="0"/>
        </w:rPr>
        <w:t xml:space="preserve"> objectives and the steps a school will take to improve the cohort default rate</w:t>
      </w:r>
    </w:p>
    <w:p w14:paraId="2E6512F5" w14:textId="77777777" w:rsidR="00380B80" w:rsidRPr="00477054" w:rsidRDefault="00380B80" w:rsidP="00477054">
      <w:pPr>
        <w:pStyle w:val="Title"/>
        <w:numPr>
          <w:ilvl w:val="0"/>
          <w:numId w:val="45"/>
        </w:numPr>
        <w:rPr>
          <w:i w:val="0"/>
        </w:rPr>
      </w:pPr>
      <w:r w:rsidRPr="00477054">
        <w:rPr>
          <w:i w:val="0"/>
        </w:rPr>
        <w:t xml:space="preserve">Specify the actions </w:t>
      </w:r>
      <w:r w:rsidR="00ED1A53">
        <w:rPr>
          <w:i w:val="0"/>
        </w:rPr>
        <w:t>the school will take</w:t>
      </w:r>
      <w:r w:rsidRPr="00477054">
        <w:rPr>
          <w:i w:val="0"/>
        </w:rPr>
        <w:t xml:space="preserve"> to improve student loan repayment, including </w:t>
      </w:r>
      <w:r w:rsidR="00477054" w:rsidRPr="00477054">
        <w:rPr>
          <w:i w:val="0"/>
        </w:rPr>
        <w:t>counseling students</w:t>
      </w:r>
      <w:r w:rsidR="00ED1A53">
        <w:rPr>
          <w:i w:val="0"/>
        </w:rPr>
        <w:t xml:space="preserve"> on</w:t>
      </w:r>
      <w:r w:rsidR="00477054" w:rsidRPr="00477054">
        <w:rPr>
          <w:i w:val="0"/>
        </w:rPr>
        <w:t xml:space="preserve"> </w:t>
      </w:r>
      <w:r w:rsidRPr="00477054">
        <w:rPr>
          <w:i w:val="0"/>
        </w:rPr>
        <w:t>repayment options</w:t>
      </w:r>
    </w:p>
    <w:p w14:paraId="76951EF6" w14:textId="17C90EC1" w:rsidR="00380B80" w:rsidRPr="00477054" w:rsidRDefault="00380B80" w:rsidP="00477054">
      <w:pPr>
        <w:pStyle w:val="Title"/>
        <w:numPr>
          <w:ilvl w:val="0"/>
          <w:numId w:val="45"/>
        </w:numPr>
        <w:rPr>
          <w:i w:val="0"/>
        </w:rPr>
      </w:pPr>
      <w:r w:rsidRPr="00477054">
        <w:rPr>
          <w:i w:val="0"/>
        </w:rPr>
        <w:t>Submit the default prevention plan to the Department.</w:t>
      </w:r>
    </w:p>
    <w:p w14:paraId="51D1BB07" w14:textId="77777777" w:rsidR="00380B80" w:rsidRPr="00477054" w:rsidRDefault="00380B80" w:rsidP="00380B80">
      <w:pPr>
        <w:pStyle w:val="Title"/>
        <w:rPr>
          <w:i w:val="0"/>
        </w:rPr>
      </w:pPr>
    </w:p>
    <w:p w14:paraId="7600D887" w14:textId="1747AE19" w:rsidR="00380B80" w:rsidRPr="00477054" w:rsidRDefault="00380B80" w:rsidP="00380B80">
      <w:pPr>
        <w:rPr>
          <w:rFonts w:ascii="Arial" w:hAnsi="Arial" w:cs="Arial"/>
          <w:color w:val="auto"/>
          <w:szCs w:val="20"/>
        </w:rPr>
      </w:pPr>
      <w:r w:rsidRPr="00477054">
        <w:rPr>
          <w:rFonts w:ascii="Arial" w:hAnsi="Arial" w:cs="Arial"/>
          <w:color w:val="auto"/>
          <w:szCs w:val="20"/>
        </w:rPr>
        <w:t>In the event a school</w:t>
      </w:r>
      <w:r w:rsidR="00C552E3">
        <w:rPr>
          <w:rFonts w:ascii="Arial" w:hAnsi="Arial" w:cs="Arial"/>
          <w:color w:val="auto"/>
          <w:szCs w:val="20"/>
        </w:rPr>
        <w:t xml:space="preserve"> has a CDR that</w:t>
      </w:r>
      <w:r w:rsidRPr="00477054">
        <w:rPr>
          <w:rFonts w:ascii="Arial" w:hAnsi="Arial" w:cs="Arial"/>
          <w:color w:val="auto"/>
          <w:szCs w:val="20"/>
        </w:rPr>
        <w:t xml:space="preserve"> is equal to or greater than 30% for a second consecutive year, the regulations require </w:t>
      </w:r>
      <w:r w:rsidR="00C552E3">
        <w:rPr>
          <w:rFonts w:ascii="Arial" w:hAnsi="Arial" w:cs="Arial"/>
          <w:color w:val="auto"/>
          <w:szCs w:val="20"/>
        </w:rPr>
        <w:t xml:space="preserve">the </w:t>
      </w:r>
      <w:r w:rsidRPr="00477054">
        <w:rPr>
          <w:rFonts w:ascii="Arial" w:hAnsi="Arial" w:cs="Arial"/>
          <w:color w:val="auto"/>
          <w:szCs w:val="20"/>
        </w:rPr>
        <w:t>school</w:t>
      </w:r>
      <w:r w:rsidR="00C552E3">
        <w:rPr>
          <w:rFonts w:ascii="Arial" w:hAnsi="Arial" w:cs="Arial"/>
          <w:color w:val="auto"/>
          <w:szCs w:val="20"/>
        </w:rPr>
        <w:t xml:space="preserve"> to</w:t>
      </w:r>
      <w:r w:rsidRPr="00477054">
        <w:rPr>
          <w:rFonts w:ascii="Arial" w:hAnsi="Arial" w:cs="Arial"/>
          <w:color w:val="auto"/>
          <w:szCs w:val="20"/>
        </w:rPr>
        <w:t xml:space="preserve"> revise the default prevention plan and submit it to the Department for review.</w:t>
      </w:r>
      <w:r w:rsidR="005560FA">
        <w:rPr>
          <w:rFonts w:ascii="Arial" w:hAnsi="Arial" w:cs="Arial"/>
          <w:color w:val="auto"/>
          <w:szCs w:val="20"/>
        </w:rPr>
        <w:t xml:space="preserve"> </w:t>
      </w:r>
      <w:r w:rsidRPr="00477054">
        <w:rPr>
          <w:rFonts w:ascii="Arial" w:hAnsi="Arial" w:cs="Arial"/>
          <w:color w:val="auto"/>
          <w:szCs w:val="20"/>
        </w:rPr>
        <w:t xml:space="preserve"> </w:t>
      </w:r>
      <w:r w:rsidR="00C552E3">
        <w:rPr>
          <w:rFonts w:ascii="Arial" w:hAnsi="Arial" w:cs="Arial"/>
          <w:color w:val="auto"/>
          <w:szCs w:val="20"/>
        </w:rPr>
        <w:t>Following the review, the</w:t>
      </w:r>
      <w:r w:rsidR="00C552E3" w:rsidRPr="00477054">
        <w:rPr>
          <w:rFonts w:ascii="Arial" w:hAnsi="Arial" w:cs="Arial"/>
          <w:color w:val="auto"/>
          <w:szCs w:val="20"/>
        </w:rPr>
        <w:t xml:space="preserve"> </w:t>
      </w:r>
      <w:r w:rsidRPr="00477054">
        <w:rPr>
          <w:rFonts w:ascii="Arial" w:hAnsi="Arial" w:cs="Arial"/>
          <w:color w:val="auto"/>
          <w:szCs w:val="20"/>
        </w:rPr>
        <w:t>Department may</w:t>
      </w:r>
      <w:r w:rsidR="004B1F76">
        <w:rPr>
          <w:rFonts w:ascii="Arial" w:hAnsi="Arial" w:cs="Arial"/>
          <w:color w:val="auto"/>
          <w:szCs w:val="20"/>
        </w:rPr>
        <w:t xml:space="preserve"> </w:t>
      </w:r>
      <w:r w:rsidRPr="00477054">
        <w:rPr>
          <w:rFonts w:ascii="Arial" w:hAnsi="Arial" w:cs="Arial"/>
          <w:color w:val="auto"/>
          <w:szCs w:val="20"/>
        </w:rPr>
        <w:t>require a school to revise the plan or specify</w:t>
      </w:r>
      <w:r w:rsidR="00C552E3">
        <w:rPr>
          <w:rFonts w:ascii="Arial" w:hAnsi="Arial" w:cs="Arial"/>
          <w:color w:val="auto"/>
          <w:szCs w:val="20"/>
        </w:rPr>
        <w:t xml:space="preserve"> additional</w:t>
      </w:r>
      <w:r w:rsidRPr="00477054">
        <w:rPr>
          <w:rFonts w:ascii="Arial" w:hAnsi="Arial" w:cs="Arial"/>
          <w:color w:val="auto"/>
          <w:szCs w:val="20"/>
        </w:rPr>
        <w:t xml:space="preserve"> actions the school must take to satisfy regulatory </w:t>
      </w:r>
      <w:r w:rsidR="00C552E3">
        <w:rPr>
          <w:rFonts w:ascii="Arial" w:hAnsi="Arial" w:cs="Arial"/>
          <w:color w:val="auto"/>
          <w:szCs w:val="20"/>
        </w:rPr>
        <w:t>requirement</w:t>
      </w:r>
      <w:r w:rsidR="00C552E3" w:rsidRPr="00477054">
        <w:rPr>
          <w:rFonts w:ascii="Arial" w:hAnsi="Arial" w:cs="Arial"/>
          <w:color w:val="auto"/>
          <w:szCs w:val="20"/>
        </w:rPr>
        <w:t>s</w:t>
      </w:r>
      <w:r w:rsidRPr="00477054">
        <w:rPr>
          <w:rFonts w:ascii="Arial" w:hAnsi="Arial" w:cs="Arial"/>
          <w:color w:val="auto"/>
          <w:szCs w:val="20"/>
        </w:rPr>
        <w:t>.</w:t>
      </w:r>
    </w:p>
    <w:p w14:paraId="197F9CD8" w14:textId="77777777" w:rsidR="00380B80" w:rsidRPr="00477054" w:rsidRDefault="00380B80" w:rsidP="00380B80">
      <w:pPr>
        <w:pStyle w:val="Title"/>
        <w:rPr>
          <w:i w:val="0"/>
        </w:rPr>
      </w:pPr>
    </w:p>
    <w:p w14:paraId="4FB0D03A" w14:textId="695A3E5D" w:rsidR="000B5A6F" w:rsidRPr="00477054" w:rsidRDefault="000B5A6F" w:rsidP="000B5A6F">
      <w:pPr>
        <w:pStyle w:val="Title"/>
        <w:rPr>
          <w:i w:val="0"/>
          <w:sz w:val="24"/>
          <w:szCs w:val="24"/>
        </w:rPr>
      </w:pPr>
      <w:r w:rsidRPr="00477054">
        <w:rPr>
          <w:i w:val="0"/>
        </w:rPr>
        <w:t xml:space="preserve">Proper performance of default </w:t>
      </w:r>
      <w:r w:rsidR="00C552E3">
        <w:rPr>
          <w:i w:val="0"/>
        </w:rPr>
        <w:t>prevention</w:t>
      </w:r>
      <w:r w:rsidR="00C552E3" w:rsidRPr="00477054">
        <w:rPr>
          <w:i w:val="0"/>
        </w:rPr>
        <w:t xml:space="preserve"> </w:t>
      </w:r>
      <w:r w:rsidRPr="00477054">
        <w:rPr>
          <w:i w:val="0"/>
        </w:rPr>
        <w:t>measures</w:t>
      </w:r>
      <w:r w:rsidR="00C552E3">
        <w:rPr>
          <w:i w:val="0"/>
        </w:rPr>
        <w:t>, as</w:t>
      </w:r>
      <w:r w:rsidRPr="00477054">
        <w:rPr>
          <w:i w:val="0"/>
        </w:rPr>
        <w:t xml:space="preserve"> stated in federal regulation</w:t>
      </w:r>
      <w:r w:rsidR="00C552E3">
        <w:rPr>
          <w:i w:val="0"/>
        </w:rPr>
        <w:t>s</w:t>
      </w:r>
      <w:r w:rsidRPr="00477054">
        <w:rPr>
          <w:i w:val="0"/>
        </w:rPr>
        <w:t xml:space="preserve"> and statute</w:t>
      </w:r>
      <w:r w:rsidR="00C552E3">
        <w:rPr>
          <w:i w:val="0"/>
        </w:rPr>
        <w:t>,</w:t>
      </w:r>
      <w:r w:rsidRPr="00477054">
        <w:rPr>
          <w:i w:val="0"/>
        </w:rPr>
        <w:t xml:space="preserve"> are the foundation of your default prevention efforts</w:t>
      </w:r>
      <w:r w:rsidR="00380B80" w:rsidRPr="00477054">
        <w:rPr>
          <w:i w:val="0"/>
        </w:rPr>
        <w:t>, and</w:t>
      </w:r>
      <w:r w:rsidR="00380B80" w:rsidRPr="00477054">
        <w:rPr>
          <w:i w:val="0"/>
          <w:sz w:val="24"/>
          <w:szCs w:val="24"/>
        </w:rPr>
        <w:t xml:space="preserve"> </w:t>
      </w:r>
      <w:r w:rsidR="00380B80" w:rsidRPr="00477054">
        <w:rPr>
          <w:i w:val="0"/>
        </w:rPr>
        <w:t xml:space="preserve">may, as stipulated in </w:t>
      </w:r>
      <w:r w:rsidR="00C552E3">
        <w:rPr>
          <w:i w:val="0"/>
        </w:rPr>
        <w:t>f</w:t>
      </w:r>
      <w:r w:rsidR="00C552E3" w:rsidRPr="00477054">
        <w:rPr>
          <w:i w:val="0"/>
        </w:rPr>
        <w:t xml:space="preserve">ederal </w:t>
      </w:r>
      <w:r w:rsidR="00380B80" w:rsidRPr="00477054">
        <w:rPr>
          <w:i w:val="0"/>
        </w:rPr>
        <w:t>regulations, have compliance consequences for your institution.</w:t>
      </w:r>
    </w:p>
    <w:p w14:paraId="4D311F08" w14:textId="77777777" w:rsidR="00A511BE" w:rsidRDefault="00A511BE" w:rsidP="000B5A6F">
      <w:pPr>
        <w:pStyle w:val="Title"/>
        <w:rPr>
          <w:i w:val="0"/>
          <w:sz w:val="24"/>
        </w:rPr>
      </w:pPr>
    </w:p>
    <w:p w14:paraId="70804733" w14:textId="77777777" w:rsidR="000B5A6F" w:rsidRPr="00F56A0A" w:rsidRDefault="000B5A6F" w:rsidP="000B5A6F">
      <w:pPr>
        <w:pStyle w:val="Title"/>
        <w:rPr>
          <w:b/>
          <w:i w:val="0"/>
          <w:u w:val="single"/>
        </w:rPr>
      </w:pPr>
      <w:r w:rsidRPr="00F56A0A">
        <w:rPr>
          <w:b/>
          <w:i w:val="0"/>
          <w:u w:val="single"/>
        </w:rPr>
        <w:t>ENTRANCE AND EXIT COUNSELING</w:t>
      </w:r>
    </w:p>
    <w:p w14:paraId="043872CE" w14:textId="46176B46" w:rsidR="000B5A6F" w:rsidRPr="00477054" w:rsidRDefault="000B5A6F" w:rsidP="000B5A6F">
      <w:pPr>
        <w:pStyle w:val="Title"/>
        <w:rPr>
          <w:b/>
          <w:bCs/>
          <w:i w:val="0"/>
          <w:color w:val="006287"/>
        </w:rPr>
      </w:pPr>
      <w:r w:rsidRPr="00477054">
        <w:rPr>
          <w:i w:val="0"/>
        </w:rPr>
        <w:t xml:space="preserve">A school must conduct </w:t>
      </w:r>
      <w:r w:rsidRPr="00477054">
        <w:rPr>
          <w:bCs/>
          <w:i w:val="0"/>
        </w:rPr>
        <w:t>entrance counseling for first</w:t>
      </w:r>
      <w:r w:rsidR="005560FA">
        <w:rPr>
          <w:bCs/>
          <w:i w:val="0"/>
        </w:rPr>
        <w:t>-</w:t>
      </w:r>
      <w:r w:rsidRPr="00477054">
        <w:rPr>
          <w:bCs/>
          <w:i w:val="0"/>
        </w:rPr>
        <w:t xml:space="preserve">time borrowers </w:t>
      </w:r>
      <w:r w:rsidRPr="00477054">
        <w:rPr>
          <w:i w:val="0"/>
        </w:rPr>
        <w:t>before releasing the first disbursement of a Title IV loan to the borrower.  Entrance counseling</w:t>
      </w:r>
      <w:r w:rsidR="00453D5D">
        <w:rPr>
          <w:i w:val="0"/>
        </w:rPr>
        <w:t>, required for first-time borrowers only,</w:t>
      </w:r>
      <w:r w:rsidRPr="00477054">
        <w:rPr>
          <w:i w:val="0"/>
        </w:rPr>
        <w:t xml:space="preserve"> is a default prevention requirement that has been established in regulation for many years. </w:t>
      </w:r>
      <w:r w:rsidR="005560FA">
        <w:rPr>
          <w:i w:val="0"/>
        </w:rPr>
        <w:t xml:space="preserve"> </w:t>
      </w:r>
      <w:r w:rsidRPr="00477054">
        <w:rPr>
          <w:i w:val="0"/>
        </w:rPr>
        <w:t>Schools are required to provide comprehensive information about the terms and conditions of the loan, borrower’s rights and responsibilities, and information about staying in touch with the holder of the loan</w:t>
      </w:r>
      <w:r w:rsidR="00A511BE" w:rsidRPr="00477054">
        <w:rPr>
          <w:i w:val="0"/>
        </w:rPr>
        <w:t>.</w:t>
      </w:r>
    </w:p>
    <w:p w14:paraId="0499054F" w14:textId="77777777" w:rsidR="000B5A6F" w:rsidRPr="00477054" w:rsidRDefault="000B5A6F" w:rsidP="000B5A6F">
      <w:pPr>
        <w:pStyle w:val="Title"/>
        <w:rPr>
          <w:i w:val="0"/>
          <w:color w:val="FF0000"/>
        </w:rPr>
      </w:pPr>
    </w:p>
    <w:p w14:paraId="7D6D4B36" w14:textId="0FC9D328" w:rsidR="000B5A6F" w:rsidRPr="00477054" w:rsidRDefault="00C552E3" w:rsidP="000B5A6F">
      <w:pPr>
        <w:rPr>
          <w:rFonts w:ascii="Arial" w:hAnsi="Arial"/>
          <w:szCs w:val="20"/>
        </w:rPr>
      </w:pPr>
      <w:r>
        <w:rPr>
          <w:rFonts w:ascii="Arial" w:hAnsi="Arial"/>
          <w:iCs/>
          <w:szCs w:val="20"/>
        </w:rPr>
        <w:t xml:space="preserve">The school must conduct </w:t>
      </w:r>
      <w:r w:rsidRPr="004B1F76">
        <w:rPr>
          <w:rFonts w:ascii="Arial" w:hAnsi="Arial"/>
          <w:b/>
          <w:iCs/>
          <w:szCs w:val="20"/>
        </w:rPr>
        <w:t>exit counseling</w:t>
      </w:r>
      <w:r>
        <w:rPr>
          <w:rFonts w:ascii="Arial" w:hAnsi="Arial"/>
          <w:iCs/>
          <w:szCs w:val="20"/>
        </w:rPr>
        <w:t xml:space="preserve"> before a borrower</w:t>
      </w:r>
      <w:r w:rsidR="000B5A6F" w:rsidRPr="00477054">
        <w:rPr>
          <w:rFonts w:ascii="Arial" w:hAnsi="Arial"/>
          <w:iCs/>
          <w:szCs w:val="20"/>
        </w:rPr>
        <w:t xml:space="preserve"> </w:t>
      </w:r>
      <w:r>
        <w:rPr>
          <w:rFonts w:ascii="Arial" w:hAnsi="Arial"/>
          <w:iCs/>
          <w:szCs w:val="20"/>
        </w:rPr>
        <w:t xml:space="preserve">leaves </w:t>
      </w:r>
      <w:r w:rsidR="000B5A6F" w:rsidRPr="00477054">
        <w:rPr>
          <w:rFonts w:ascii="Arial" w:hAnsi="Arial"/>
          <w:iCs/>
          <w:szCs w:val="20"/>
        </w:rPr>
        <w:t xml:space="preserve">school, </w:t>
      </w:r>
      <w:r w:rsidR="005560FA">
        <w:rPr>
          <w:rFonts w:ascii="Arial" w:hAnsi="Arial"/>
          <w:iCs/>
          <w:szCs w:val="20"/>
        </w:rPr>
        <w:t>t</w:t>
      </w:r>
      <w:r w:rsidR="000B5A6F" w:rsidRPr="00477054">
        <w:rPr>
          <w:rFonts w:ascii="Arial" w:hAnsi="Arial"/>
          <w:iCs/>
          <w:szCs w:val="20"/>
        </w:rPr>
        <w:t>o inform the borrower once again of some of the information provided during entrance counseling</w:t>
      </w:r>
      <w:r>
        <w:rPr>
          <w:rFonts w:ascii="Arial" w:hAnsi="Arial"/>
          <w:iCs/>
          <w:szCs w:val="20"/>
        </w:rPr>
        <w:t>,</w:t>
      </w:r>
      <w:r w:rsidR="000B5A6F" w:rsidRPr="00477054">
        <w:rPr>
          <w:rFonts w:ascii="Arial" w:hAnsi="Arial"/>
          <w:iCs/>
          <w:szCs w:val="20"/>
        </w:rPr>
        <w:t xml:space="preserve"> and to provide more specific information about loan repayment and debt-management strategies.  The exit counseling session </w:t>
      </w:r>
      <w:r>
        <w:rPr>
          <w:rFonts w:ascii="Arial" w:hAnsi="Arial"/>
          <w:iCs/>
          <w:szCs w:val="20"/>
        </w:rPr>
        <w:t>may</w:t>
      </w:r>
      <w:r w:rsidRPr="00477054">
        <w:rPr>
          <w:rFonts w:ascii="Arial" w:hAnsi="Arial"/>
          <w:iCs/>
          <w:szCs w:val="20"/>
        </w:rPr>
        <w:t xml:space="preserve"> </w:t>
      </w:r>
      <w:r w:rsidR="000B5A6F" w:rsidRPr="00477054">
        <w:rPr>
          <w:rFonts w:ascii="Arial" w:hAnsi="Arial"/>
          <w:iCs/>
          <w:szCs w:val="20"/>
        </w:rPr>
        <w:t xml:space="preserve">be conducted </w:t>
      </w:r>
      <w:r>
        <w:rPr>
          <w:rFonts w:ascii="Arial" w:hAnsi="Arial"/>
          <w:iCs/>
          <w:szCs w:val="20"/>
        </w:rPr>
        <w:t xml:space="preserve">orally or on the web, </w:t>
      </w:r>
      <w:r w:rsidR="000B5A6F" w:rsidRPr="00477054">
        <w:rPr>
          <w:rFonts w:ascii="Arial" w:hAnsi="Arial"/>
          <w:iCs/>
          <w:szCs w:val="20"/>
        </w:rPr>
        <w:t>individually or in groups</w:t>
      </w:r>
      <w:r w:rsidR="0026721E">
        <w:rPr>
          <w:rFonts w:ascii="Arial" w:hAnsi="Arial"/>
          <w:iCs/>
          <w:szCs w:val="20"/>
        </w:rPr>
        <w:t>.</w:t>
      </w:r>
      <w:r w:rsidR="005560FA">
        <w:rPr>
          <w:rFonts w:ascii="Arial" w:hAnsi="Arial"/>
          <w:iCs/>
          <w:szCs w:val="20"/>
        </w:rPr>
        <w:t xml:space="preserve"> </w:t>
      </w:r>
      <w:r w:rsidR="000B5A6F" w:rsidRPr="00477054">
        <w:rPr>
          <w:rFonts w:ascii="Arial" w:hAnsi="Arial"/>
          <w:iCs/>
          <w:szCs w:val="20"/>
        </w:rPr>
        <w:t xml:space="preserve"> </w:t>
      </w:r>
      <w:r w:rsidR="0026721E">
        <w:rPr>
          <w:rFonts w:ascii="Arial" w:hAnsi="Arial"/>
          <w:iCs/>
          <w:szCs w:val="20"/>
        </w:rPr>
        <w:t xml:space="preserve">The </w:t>
      </w:r>
      <w:r w:rsidR="000B5A6F" w:rsidRPr="00477054">
        <w:rPr>
          <w:rFonts w:ascii="Arial" w:hAnsi="Arial"/>
          <w:iCs/>
          <w:szCs w:val="20"/>
        </w:rPr>
        <w:t>Direct Loan Servicing Center provide</w:t>
      </w:r>
      <w:r w:rsidR="00134CB3" w:rsidRPr="00477054">
        <w:rPr>
          <w:rFonts w:ascii="Arial" w:hAnsi="Arial"/>
          <w:iCs/>
          <w:color w:val="404040"/>
          <w:szCs w:val="20"/>
        </w:rPr>
        <w:t>s</w:t>
      </w:r>
      <w:r w:rsidR="000B5A6F" w:rsidRPr="00477054">
        <w:rPr>
          <w:rFonts w:ascii="Arial" w:hAnsi="Arial"/>
          <w:iCs/>
          <w:szCs w:val="20"/>
        </w:rPr>
        <w:t xml:space="preserve"> online entrance and exit counseling.</w:t>
      </w:r>
    </w:p>
    <w:p w14:paraId="64EB5A90" w14:textId="77777777" w:rsidR="00F56A0A" w:rsidRDefault="00F56A0A" w:rsidP="000B5A6F">
      <w:pPr>
        <w:rPr>
          <w:rFonts w:ascii="Arial" w:hAnsi="Arial"/>
          <w:b/>
          <w:sz w:val="18"/>
          <w:szCs w:val="18"/>
        </w:rPr>
      </w:pPr>
    </w:p>
    <w:p w14:paraId="33FE4192" w14:textId="77777777" w:rsidR="003453BA" w:rsidRPr="009560C9" w:rsidRDefault="003453BA" w:rsidP="000B5A6F">
      <w:pPr>
        <w:rPr>
          <w:rFonts w:ascii="Arial" w:hAnsi="Arial" w:cs="Arial"/>
          <w:b/>
          <w:szCs w:val="20"/>
        </w:rPr>
      </w:pPr>
      <w:r w:rsidRPr="009560C9">
        <w:rPr>
          <w:rFonts w:ascii="Arial" w:hAnsi="Arial" w:cs="Arial"/>
          <w:b/>
          <w:szCs w:val="20"/>
        </w:rPr>
        <w:lastRenderedPageBreak/>
        <w:t xml:space="preserve">Available Resources for Entrance and Exit Counseling: </w:t>
      </w:r>
      <w:hyperlink r:id="rId13" w:history="1">
        <w:r w:rsidR="00F56A0A" w:rsidRPr="009560C9">
          <w:rPr>
            <w:rStyle w:val="Hyperlink"/>
            <w:rFonts w:cs="Arial"/>
            <w:b/>
            <w:sz w:val="20"/>
            <w:szCs w:val="20"/>
          </w:rPr>
          <w:t>Entrance Counseling on StudentLoans.gov</w:t>
        </w:r>
      </w:hyperlink>
      <w:r w:rsidR="00F56A0A" w:rsidRPr="009560C9">
        <w:rPr>
          <w:rFonts w:ascii="Arial" w:hAnsi="Arial" w:cs="Arial"/>
          <w:b/>
          <w:szCs w:val="20"/>
        </w:rPr>
        <w:t xml:space="preserve">; </w:t>
      </w:r>
      <w:hyperlink r:id="rId14" w:history="1">
        <w:r w:rsidR="00F56A0A" w:rsidRPr="009560C9">
          <w:rPr>
            <w:rStyle w:val="Hyperlink"/>
            <w:rFonts w:cs="Arial"/>
            <w:b/>
            <w:sz w:val="20"/>
            <w:szCs w:val="20"/>
          </w:rPr>
          <w:t>Exit Counseling on NSLDS</w:t>
        </w:r>
      </w:hyperlink>
      <w:r w:rsidR="00F56A0A" w:rsidRPr="009560C9">
        <w:rPr>
          <w:rFonts w:ascii="Arial" w:hAnsi="Arial" w:cs="Arial"/>
          <w:b/>
          <w:szCs w:val="20"/>
        </w:rPr>
        <w:t xml:space="preserve">; </w:t>
      </w:r>
      <w:r w:rsidR="0026721E" w:rsidRPr="009560C9">
        <w:rPr>
          <w:rFonts w:ascii="Arial" w:hAnsi="Arial" w:cs="Arial"/>
          <w:b/>
          <w:szCs w:val="20"/>
        </w:rPr>
        <w:t xml:space="preserve">and </w:t>
      </w:r>
      <w:hyperlink r:id="rId15" w:history="1">
        <w:r w:rsidR="0061535E" w:rsidRPr="009560C9">
          <w:rPr>
            <w:rStyle w:val="Hyperlink"/>
            <w:rFonts w:cs="Arial"/>
            <w:b/>
            <w:sz w:val="20"/>
            <w:szCs w:val="20"/>
          </w:rPr>
          <w:t>Student Loan Repayment Resources</w:t>
        </w:r>
      </w:hyperlink>
      <w:r w:rsidR="0026721E" w:rsidRPr="009560C9">
        <w:rPr>
          <w:rFonts w:ascii="Arial" w:hAnsi="Arial" w:cs="Arial"/>
          <w:b/>
          <w:szCs w:val="20"/>
        </w:rPr>
        <w:t>.</w:t>
      </w:r>
      <w:r w:rsidRPr="009560C9">
        <w:rPr>
          <w:rFonts w:ascii="Arial" w:hAnsi="Arial" w:cs="Arial"/>
          <w:color w:val="666666"/>
          <w:szCs w:val="20"/>
          <w:shd w:val="clear" w:color="auto" w:fill="C1C1C1"/>
        </w:rPr>
        <w:br/>
      </w:r>
    </w:p>
    <w:p w14:paraId="3C265029" w14:textId="77777777" w:rsidR="000B5A6F" w:rsidRPr="009560C9" w:rsidRDefault="000B5A6F" w:rsidP="000B5A6F">
      <w:pPr>
        <w:rPr>
          <w:rFonts w:ascii="Arial" w:hAnsi="Arial" w:cs="Arial"/>
          <w:szCs w:val="20"/>
        </w:rPr>
      </w:pPr>
    </w:p>
    <w:p w14:paraId="24DE11BC" w14:textId="0C3C1F7C" w:rsidR="000B5A6F" w:rsidRPr="00F56A0A" w:rsidRDefault="000B5A6F" w:rsidP="000B5A6F">
      <w:pPr>
        <w:pStyle w:val="Title"/>
        <w:rPr>
          <w:b/>
          <w:i w:val="0"/>
        </w:rPr>
      </w:pPr>
      <w:r w:rsidRPr="00F56A0A">
        <w:rPr>
          <w:b/>
          <w:i w:val="0"/>
          <w:u w:val="single"/>
        </w:rPr>
        <w:t>PROVIDING BORROWER INFORMATION AT SEPARATION</w:t>
      </w:r>
    </w:p>
    <w:p w14:paraId="765B0ECB" w14:textId="77777777" w:rsidR="000B5A6F" w:rsidRPr="000B5A6F" w:rsidRDefault="000B5A6F" w:rsidP="000B5A6F">
      <w:pPr>
        <w:pStyle w:val="BodyText"/>
        <w:rPr>
          <w:rFonts w:ascii="Arial" w:hAnsi="Arial"/>
          <w:b/>
        </w:rPr>
      </w:pPr>
    </w:p>
    <w:p w14:paraId="1E53761D" w14:textId="79909C9A" w:rsidR="000B5A6F" w:rsidRPr="00477054" w:rsidRDefault="000B5A6F" w:rsidP="000B5A6F">
      <w:pPr>
        <w:pStyle w:val="BodyText"/>
        <w:rPr>
          <w:rFonts w:ascii="Arial" w:hAnsi="Arial"/>
          <w:b/>
          <w:color w:val="FF0000"/>
          <w:sz w:val="20"/>
          <w:szCs w:val="20"/>
        </w:rPr>
      </w:pPr>
      <w:r w:rsidRPr="00477054">
        <w:rPr>
          <w:rFonts w:ascii="Arial" w:hAnsi="Arial"/>
          <w:b/>
          <w:sz w:val="20"/>
          <w:szCs w:val="20"/>
        </w:rPr>
        <w:t>Within 60 days after the exit counseling session, the school must provide</w:t>
      </w:r>
      <w:r w:rsidR="00B154B7" w:rsidRPr="00477054">
        <w:rPr>
          <w:rFonts w:ascii="Arial" w:hAnsi="Arial"/>
          <w:b/>
          <w:sz w:val="20"/>
          <w:szCs w:val="20"/>
        </w:rPr>
        <w:t xml:space="preserve"> </w:t>
      </w:r>
      <w:r w:rsidR="0026721E">
        <w:rPr>
          <w:rFonts w:ascii="Arial" w:hAnsi="Arial"/>
          <w:b/>
          <w:sz w:val="20"/>
          <w:szCs w:val="20"/>
        </w:rPr>
        <w:t xml:space="preserve">the </w:t>
      </w:r>
      <w:r w:rsidR="00B154B7" w:rsidRPr="00477054">
        <w:rPr>
          <w:rFonts w:ascii="Arial" w:hAnsi="Arial"/>
          <w:b/>
          <w:color w:val="404040"/>
          <w:sz w:val="20"/>
          <w:szCs w:val="20"/>
        </w:rPr>
        <w:t>Direct Loan</w:t>
      </w:r>
      <w:r w:rsidR="00B154B7" w:rsidRPr="00477054">
        <w:rPr>
          <w:rFonts w:ascii="Arial" w:hAnsi="Arial"/>
          <w:b/>
          <w:color w:val="FF0000"/>
          <w:sz w:val="20"/>
          <w:szCs w:val="20"/>
        </w:rPr>
        <w:t xml:space="preserve"> </w:t>
      </w:r>
      <w:r w:rsidRPr="00477054">
        <w:rPr>
          <w:rFonts w:ascii="Arial" w:hAnsi="Arial"/>
          <w:b/>
          <w:sz w:val="20"/>
          <w:szCs w:val="20"/>
        </w:rPr>
        <w:t>Servicing Center all updated borrower contact</w:t>
      </w:r>
      <w:r w:rsidR="0026721E">
        <w:rPr>
          <w:rFonts w:ascii="Arial" w:hAnsi="Arial"/>
          <w:b/>
          <w:sz w:val="20"/>
          <w:szCs w:val="20"/>
        </w:rPr>
        <w:t xml:space="preserve"> information</w:t>
      </w:r>
      <w:r w:rsidR="00A511BE" w:rsidRPr="00477054">
        <w:rPr>
          <w:rFonts w:ascii="Arial" w:hAnsi="Arial"/>
          <w:b/>
          <w:sz w:val="20"/>
          <w:szCs w:val="20"/>
        </w:rPr>
        <w:t>.</w:t>
      </w:r>
    </w:p>
    <w:p w14:paraId="02E6ED76" w14:textId="77777777" w:rsidR="000B5A6F" w:rsidRPr="00477054" w:rsidRDefault="000B5A6F" w:rsidP="000B5A6F">
      <w:pPr>
        <w:autoSpaceDE w:val="0"/>
        <w:autoSpaceDN w:val="0"/>
        <w:adjustRightInd w:val="0"/>
        <w:rPr>
          <w:rFonts w:ascii="Arial" w:hAnsi="Arial"/>
          <w:b/>
          <w:bCs/>
          <w:szCs w:val="20"/>
          <w:u w:val="single"/>
        </w:rPr>
      </w:pPr>
      <w:r w:rsidRPr="00477054">
        <w:rPr>
          <w:rFonts w:ascii="Arial" w:hAnsi="Arial"/>
          <w:b/>
          <w:bCs/>
          <w:szCs w:val="20"/>
          <w:u w:val="single"/>
        </w:rPr>
        <w:t>NATIONAL STUDENT LOAN DATA SYSTEM (NSLDS) ENROLLMENT REPORTING</w:t>
      </w:r>
      <w:r w:rsidR="00BF50A9">
        <w:rPr>
          <w:rFonts w:ascii="Arial" w:hAnsi="Arial"/>
          <w:b/>
          <w:bCs/>
          <w:szCs w:val="20"/>
          <w:u w:val="single"/>
        </w:rPr>
        <w:t xml:space="preserve"> </w:t>
      </w:r>
    </w:p>
    <w:p w14:paraId="703080CF" w14:textId="77777777" w:rsidR="000B5A6F" w:rsidRPr="00477054" w:rsidRDefault="000B5A6F" w:rsidP="000B5A6F">
      <w:pPr>
        <w:autoSpaceDE w:val="0"/>
        <w:autoSpaceDN w:val="0"/>
        <w:adjustRightInd w:val="0"/>
        <w:rPr>
          <w:rFonts w:ascii="Arial" w:hAnsi="Arial"/>
          <w:b/>
          <w:bCs/>
          <w:szCs w:val="20"/>
          <w:u w:val="single"/>
        </w:rPr>
      </w:pPr>
    </w:p>
    <w:p w14:paraId="0FCA8735" w14:textId="3BD4C7DE" w:rsidR="000B5A6F" w:rsidRPr="00477054" w:rsidRDefault="0026721E" w:rsidP="000B5A6F">
      <w:pPr>
        <w:autoSpaceDE w:val="0"/>
        <w:autoSpaceDN w:val="0"/>
        <w:adjustRightInd w:val="0"/>
        <w:rPr>
          <w:rFonts w:ascii="Arial" w:hAnsi="Arial"/>
          <w:szCs w:val="20"/>
        </w:rPr>
      </w:pPr>
      <w:r>
        <w:rPr>
          <w:rFonts w:ascii="Arial" w:hAnsi="Arial"/>
          <w:szCs w:val="20"/>
        </w:rPr>
        <w:t xml:space="preserve">The </w:t>
      </w:r>
      <w:r w:rsidR="0061535E">
        <w:rPr>
          <w:rFonts w:ascii="Arial" w:hAnsi="Arial"/>
          <w:szCs w:val="20"/>
        </w:rPr>
        <w:t xml:space="preserve">NSLDS </w:t>
      </w:r>
      <w:r w:rsidR="0061535E" w:rsidRPr="00477054">
        <w:rPr>
          <w:rFonts w:ascii="Arial" w:hAnsi="Arial"/>
          <w:szCs w:val="20"/>
        </w:rPr>
        <w:t>is</w:t>
      </w:r>
      <w:r w:rsidR="000B5A6F" w:rsidRPr="00477054">
        <w:rPr>
          <w:rFonts w:ascii="Arial" w:hAnsi="Arial"/>
          <w:szCs w:val="20"/>
        </w:rPr>
        <w:t xml:space="preserve"> used to update the enrollment status of students who </w:t>
      </w:r>
      <w:r w:rsidR="000B5A6F" w:rsidRPr="00477054">
        <w:rPr>
          <w:rFonts w:ascii="Arial" w:hAnsi="Arial"/>
          <w:color w:val="404040"/>
          <w:szCs w:val="20"/>
        </w:rPr>
        <w:t xml:space="preserve">borrowed </w:t>
      </w:r>
      <w:r w:rsidR="00B154B7" w:rsidRPr="00477054">
        <w:rPr>
          <w:rFonts w:ascii="Arial" w:hAnsi="Arial"/>
          <w:color w:val="404040"/>
          <w:szCs w:val="20"/>
        </w:rPr>
        <w:t>Direct</w:t>
      </w:r>
      <w:r w:rsidR="00A511BE" w:rsidRPr="00477054">
        <w:rPr>
          <w:rFonts w:ascii="Arial" w:hAnsi="Arial"/>
          <w:color w:val="404040"/>
          <w:szCs w:val="20"/>
        </w:rPr>
        <w:t xml:space="preserve"> </w:t>
      </w:r>
      <w:r w:rsidR="000B5A6F" w:rsidRPr="00477054">
        <w:rPr>
          <w:rFonts w:ascii="Arial" w:hAnsi="Arial"/>
          <w:color w:val="404040"/>
          <w:szCs w:val="20"/>
        </w:rPr>
        <w:t>Loans</w:t>
      </w:r>
      <w:r w:rsidR="000B5A6F" w:rsidRPr="00477054">
        <w:rPr>
          <w:rFonts w:ascii="Arial" w:hAnsi="Arial"/>
          <w:szCs w:val="20"/>
        </w:rPr>
        <w:t xml:space="preserve">.  This information is very important because it is used to determine </w:t>
      </w:r>
      <w:r>
        <w:rPr>
          <w:rFonts w:ascii="Arial" w:hAnsi="Arial"/>
          <w:szCs w:val="20"/>
        </w:rPr>
        <w:t>students’</w:t>
      </w:r>
      <w:r w:rsidR="000B5A6F" w:rsidRPr="00477054">
        <w:rPr>
          <w:rFonts w:ascii="Arial" w:hAnsi="Arial"/>
          <w:szCs w:val="20"/>
        </w:rPr>
        <w:t xml:space="preserve"> eligibility for in-school deferments and to determine the date </w:t>
      </w:r>
      <w:r>
        <w:rPr>
          <w:rFonts w:ascii="Arial" w:hAnsi="Arial"/>
          <w:szCs w:val="20"/>
        </w:rPr>
        <w:t xml:space="preserve">when students’ </w:t>
      </w:r>
      <w:r w:rsidR="000B5A6F" w:rsidRPr="00477054">
        <w:rPr>
          <w:rFonts w:ascii="Arial" w:hAnsi="Arial"/>
          <w:szCs w:val="20"/>
        </w:rPr>
        <w:t xml:space="preserve">grace </w:t>
      </w:r>
      <w:r>
        <w:rPr>
          <w:rFonts w:ascii="Arial" w:hAnsi="Arial"/>
          <w:szCs w:val="20"/>
        </w:rPr>
        <w:t>periods begin.</w:t>
      </w:r>
    </w:p>
    <w:p w14:paraId="67B1A5FD" w14:textId="77777777" w:rsidR="000B5A6F" w:rsidRPr="00477054" w:rsidRDefault="000B5A6F" w:rsidP="000B5A6F">
      <w:pPr>
        <w:autoSpaceDE w:val="0"/>
        <w:autoSpaceDN w:val="0"/>
        <w:adjustRightInd w:val="0"/>
        <w:rPr>
          <w:rFonts w:ascii="Arial" w:hAnsi="Arial"/>
          <w:szCs w:val="20"/>
        </w:rPr>
      </w:pPr>
    </w:p>
    <w:p w14:paraId="2539BB6B" w14:textId="561B9916" w:rsidR="000B5A6F" w:rsidRPr="00477054" w:rsidRDefault="000B5A6F" w:rsidP="000B5A6F">
      <w:pPr>
        <w:autoSpaceDE w:val="0"/>
        <w:autoSpaceDN w:val="0"/>
        <w:adjustRightInd w:val="0"/>
        <w:rPr>
          <w:rFonts w:ascii="Arial" w:hAnsi="Arial"/>
          <w:szCs w:val="20"/>
        </w:rPr>
      </w:pPr>
      <w:r w:rsidRPr="00477054">
        <w:rPr>
          <w:rFonts w:ascii="Arial" w:hAnsi="Arial"/>
          <w:szCs w:val="20"/>
        </w:rPr>
        <w:t>Completion of enrollment reports satisfies the regulatory requirement found in</w:t>
      </w:r>
      <w:r w:rsidRPr="00477054">
        <w:rPr>
          <w:rFonts w:ascii="Arial" w:hAnsi="Arial"/>
          <w:color w:val="008000"/>
          <w:szCs w:val="20"/>
        </w:rPr>
        <w:t xml:space="preserve"> </w:t>
      </w:r>
      <w:hyperlink r:id="rId16" w:history="1">
        <w:r w:rsidRPr="00477054">
          <w:rPr>
            <w:rStyle w:val="Hyperlink"/>
            <w:sz w:val="20"/>
            <w:szCs w:val="20"/>
          </w:rPr>
          <w:t>685.309</w:t>
        </w:r>
      </w:hyperlink>
      <w:r w:rsidRPr="00477054">
        <w:rPr>
          <w:rFonts w:ascii="Arial" w:hAnsi="Arial"/>
          <w:b/>
          <w:bCs/>
          <w:szCs w:val="20"/>
        </w:rPr>
        <w:t xml:space="preserve">.  </w:t>
      </w:r>
      <w:r w:rsidRPr="00477054">
        <w:rPr>
          <w:rFonts w:ascii="Arial" w:hAnsi="Arial"/>
          <w:szCs w:val="20"/>
        </w:rPr>
        <w:t>Schools are required to update NSLDS for all enrolled students.  In some cases, Enrollment Reporting and updating will be for loans not necessarily originated at your school</w:t>
      </w:r>
      <w:r w:rsidRPr="00477054">
        <w:rPr>
          <w:rFonts w:ascii="Arial" w:hAnsi="Arial"/>
          <w:color w:val="0000FF"/>
          <w:szCs w:val="20"/>
        </w:rPr>
        <w:t xml:space="preserve">. </w:t>
      </w:r>
      <w:r w:rsidR="005560FA">
        <w:rPr>
          <w:rFonts w:ascii="Arial" w:hAnsi="Arial"/>
          <w:color w:val="0000FF"/>
          <w:szCs w:val="20"/>
        </w:rPr>
        <w:t xml:space="preserve"> </w:t>
      </w:r>
      <w:r w:rsidRPr="00477054">
        <w:rPr>
          <w:rFonts w:ascii="Arial" w:hAnsi="Arial"/>
          <w:szCs w:val="20"/>
        </w:rPr>
        <w:t>Schools</w:t>
      </w:r>
      <w:r w:rsidRPr="00477054">
        <w:rPr>
          <w:rFonts w:ascii="Arial" w:hAnsi="Arial"/>
          <w:color w:val="0000FF"/>
          <w:szCs w:val="20"/>
        </w:rPr>
        <w:t xml:space="preserve"> </w:t>
      </w:r>
      <w:r w:rsidRPr="00477054">
        <w:rPr>
          <w:rFonts w:ascii="Arial" w:hAnsi="Arial"/>
          <w:szCs w:val="20"/>
        </w:rPr>
        <w:t>must report information for students who received some or all of their Title IV loans at other schools.</w:t>
      </w:r>
    </w:p>
    <w:p w14:paraId="32D7CFEA" w14:textId="77777777" w:rsidR="000B5A6F" w:rsidRPr="00477054" w:rsidRDefault="000B5A6F" w:rsidP="000B5A6F">
      <w:pPr>
        <w:autoSpaceDE w:val="0"/>
        <w:autoSpaceDN w:val="0"/>
        <w:adjustRightInd w:val="0"/>
        <w:rPr>
          <w:rFonts w:ascii="Arial" w:hAnsi="Arial"/>
          <w:szCs w:val="20"/>
        </w:rPr>
      </w:pPr>
    </w:p>
    <w:p w14:paraId="1C5007E5" w14:textId="54336BFE" w:rsidR="000B5A6F" w:rsidRPr="00477054" w:rsidRDefault="000B5A6F" w:rsidP="000B5A6F">
      <w:pPr>
        <w:autoSpaceDE w:val="0"/>
        <w:autoSpaceDN w:val="0"/>
        <w:adjustRightInd w:val="0"/>
        <w:rPr>
          <w:rFonts w:ascii="Arial" w:hAnsi="Arial"/>
          <w:szCs w:val="20"/>
        </w:rPr>
      </w:pPr>
      <w:r w:rsidRPr="00477054">
        <w:rPr>
          <w:rFonts w:ascii="Arial" w:hAnsi="Arial"/>
          <w:szCs w:val="20"/>
        </w:rPr>
        <w:t xml:space="preserve">Institutions must </w:t>
      </w:r>
      <w:r w:rsidR="009560C9">
        <w:rPr>
          <w:rFonts w:ascii="Arial" w:hAnsi="Arial"/>
          <w:szCs w:val="20"/>
        </w:rPr>
        <w:t>certify enrollment every 60 days and respond within 15 days of the date that NSLDS sends a Roster file to the school or its third-party servicer. The following information is reported</w:t>
      </w:r>
      <w:r w:rsidRPr="00477054">
        <w:rPr>
          <w:rFonts w:ascii="Arial" w:hAnsi="Arial"/>
          <w:szCs w:val="20"/>
        </w:rPr>
        <w:t>:</w:t>
      </w:r>
    </w:p>
    <w:p w14:paraId="454BA565" w14:textId="77777777" w:rsidR="000B5A6F" w:rsidRPr="00477054" w:rsidRDefault="000B5A6F" w:rsidP="000B5A6F">
      <w:pPr>
        <w:autoSpaceDE w:val="0"/>
        <w:autoSpaceDN w:val="0"/>
        <w:adjustRightInd w:val="0"/>
        <w:rPr>
          <w:rFonts w:ascii="Arial" w:hAnsi="Arial"/>
          <w:b/>
          <w:bCs/>
          <w:szCs w:val="20"/>
        </w:rPr>
      </w:pPr>
    </w:p>
    <w:p w14:paraId="0214FF4B" w14:textId="6D04564E" w:rsidR="000B5A6F" w:rsidRPr="00477054" w:rsidRDefault="000B5A6F" w:rsidP="000B5A6F">
      <w:pPr>
        <w:numPr>
          <w:ilvl w:val="0"/>
          <w:numId w:val="42"/>
        </w:numPr>
        <w:tabs>
          <w:tab w:val="left" w:pos="360"/>
        </w:tabs>
        <w:autoSpaceDE w:val="0"/>
        <w:autoSpaceDN w:val="0"/>
        <w:adjustRightInd w:val="0"/>
        <w:ind w:left="360" w:hanging="360"/>
        <w:rPr>
          <w:rFonts w:ascii="Arial" w:hAnsi="Arial"/>
          <w:szCs w:val="20"/>
        </w:rPr>
      </w:pPr>
      <w:r w:rsidRPr="00477054">
        <w:rPr>
          <w:rFonts w:ascii="Arial" w:hAnsi="Arial"/>
          <w:szCs w:val="20"/>
        </w:rPr>
        <w:t>Changes in a student’s enrollment status</w:t>
      </w:r>
      <w:r w:rsidR="0001029A">
        <w:rPr>
          <w:rFonts w:ascii="Arial" w:hAnsi="Arial"/>
          <w:szCs w:val="20"/>
        </w:rPr>
        <w:t>,</w:t>
      </w:r>
    </w:p>
    <w:p w14:paraId="7A928D6D" w14:textId="5A6FD330" w:rsidR="000B5A6F" w:rsidRPr="00477054" w:rsidRDefault="000B5A6F" w:rsidP="000B5A6F">
      <w:pPr>
        <w:numPr>
          <w:ilvl w:val="0"/>
          <w:numId w:val="42"/>
        </w:numPr>
        <w:tabs>
          <w:tab w:val="left" w:pos="360"/>
        </w:tabs>
        <w:autoSpaceDE w:val="0"/>
        <w:autoSpaceDN w:val="0"/>
        <w:adjustRightInd w:val="0"/>
        <w:ind w:left="360" w:hanging="360"/>
        <w:rPr>
          <w:rFonts w:ascii="Arial" w:hAnsi="Arial"/>
          <w:szCs w:val="20"/>
        </w:rPr>
      </w:pPr>
      <w:r w:rsidRPr="00477054">
        <w:rPr>
          <w:rFonts w:ascii="Arial" w:hAnsi="Arial"/>
          <w:szCs w:val="20"/>
        </w:rPr>
        <w:t>The effective date of the enrollment status</w:t>
      </w:r>
      <w:r w:rsidR="0001029A">
        <w:rPr>
          <w:rFonts w:ascii="Arial" w:hAnsi="Arial"/>
          <w:szCs w:val="20"/>
        </w:rPr>
        <w:t>,</w:t>
      </w:r>
      <w:r w:rsidRPr="00477054">
        <w:rPr>
          <w:rFonts w:ascii="Arial" w:hAnsi="Arial"/>
          <w:szCs w:val="20"/>
        </w:rPr>
        <w:t xml:space="preserve"> and</w:t>
      </w:r>
    </w:p>
    <w:p w14:paraId="63487CBE" w14:textId="7BCCC9BD" w:rsidR="000B5A6F" w:rsidRPr="00477054" w:rsidRDefault="000B5A6F" w:rsidP="000B5A6F">
      <w:pPr>
        <w:numPr>
          <w:ilvl w:val="0"/>
          <w:numId w:val="42"/>
        </w:numPr>
        <w:tabs>
          <w:tab w:val="left" w:pos="360"/>
          <w:tab w:val="left" w:pos="1080"/>
        </w:tabs>
        <w:autoSpaceDE w:val="0"/>
        <w:autoSpaceDN w:val="0"/>
        <w:adjustRightInd w:val="0"/>
        <w:ind w:left="360" w:hanging="360"/>
        <w:rPr>
          <w:rFonts w:ascii="Arial" w:hAnsi="Arial"/>
          <w:szCs w:val="20"/>
        </w:rPr>
      </w:pPr>
      <w:r w:rsidRPr="00477054">
        <w:rPr>
          <w:rFonts w:ascii="Arial" w:hAnsi="Arial"/>
          <w:szCs w:val="20"/>
        </w:rPr>
        <w:t xml:space="preserve">The anticipated completion </w:t>
      </w:r>
      <w:proofErr w:type="gramStart"/>
      <w:r w:rsidRPr="00477054">
        <w:rPr>
          <w:rFonts w:ascii="Arial" w:hAnsi="Arial"/>
          <w:szCs w:val="20"/>
        </w:rPr>
        <w:t>date</w:t>
      </w:r>
      <w:proofErr w:type="gramEnd"/>
      <w:r w:rsidR="005560FA">
        <w:rPr>
          <w:rFonts w:ascii="Arial" w:hAnsi="Arial"/>
          <w:szCs w:val="20"/>
        </w:rPr>
        <w:t>.</w:t>
      </w:r>
    </w:p>
    <w:p w14:paraId="6EE67663" w14:textId="77777777" w:rsidR="000B5A6F" w:rsidRPr="00477054" w:rsidRDefault="000B5A6F" w:rsidP="000B5A6F">
      <w:pPr>
        <w:autoSpaceDE w:val="0"/>
        <w:autoSpaceDN w:val="0"/>
        <w:adjustRightInd w:val="0"/>
        <w:rPr>
          <w:rFonts w:ascii="Arial" w:hAnsi="Arial" w:cs="Arial"/>
          <w:color w:val="000080"/>
          <w:szCs w:val="20"/>
        </w:rPr>
      </w:pPr>
    </w:p>
    <w:p w14:paraId="1A58AD5A" w14:textId="77777777" w:rsidR="000B5A6F" w:rsidRPr="00477054" w:rsidRDefault="000B5A6F" w:rsidP="000B5A6F">
      <w:pPr>
        <w:autoSpaceDE w:val="0"/>
        <w:autoSpaceDN w:val="0"/>
        <w:adjustRightInd w:val="0"/>
        <w:rPr>
          <w:rFonts w:ascii="Arial" w:hAnsi="Arial"/>
          <w:szCs w:val="20"/>
        </w:rPr>
      </w:pPr>
      <w:r w:rsidRPr="00477054">
        <w:rPr>
          <w:rFonts w:ascii="Arial" w:hAnsi="Arial" w:cs="Arial"/>
          <w:b/>
          <w:bCs/>
          <w:szCs w:val="20"/>
          <w:u w:val="single"/>
        </w:rPr>
        <w:t>NSLDS ENROLLMENT REPORTING PROCEDURES</w:t>
      </w:r>
      <w:r w:rsidRPr="00477054">
        <w:rPr>
          <w:rFonts w:ascii="Arial" w:hAnsi="Arial" w:cs="Arial"/>
          <w:b/>
          <w:bCs/>
          <w:szCs w:val="20"/>
        </w:rPr>
        <w:t xml:space="preserve"> </w:t>
      </w:r>
    </w:p>
    <w:p w14:paraId="56FF130F" w14:textId="77777777" w:rsidR="000B5A6F" w:rsidRPr="00477054" w:rsidRDefault="000B5A6F" w:rsidP="000B5A6F">
      <w:pPr>
        <w:autoSpaceDE w:val="0"/>
        <w:autoSpaceDN w:val="0"/>
        <w:adjustRightInd w:val="0"/>
        <w:rPr>
          <w:rFonts w:ascii="Arial" w:hAnsi="Arial"/>
          <w:szCs w:val="20"/>
        </w:rPr>
      </w:pPr>
    </w:p>
    <w:p w14:paraId="128B1D97" w14:textId="0F05C529" w:rsidR="000B5A6F" w:rsidRPr="00477054" w:rsidRDefault="0026721E" w:rsidP="000B5A6F">
      <w:pPr>
        <w:autoSpaceDE w:val="0"/>
        <w:autoSpaceDN w:val="0"/>
        <w:adjustRightInd w:val="0"/>
        <w:rPr>
          <w:rFonts w:ascii="Arial" w:hAnsi="Arial"/>
          <w:szCs w:val="20"/>
        </w:rPr>
      </w:pPr>
      <w:r>
        <w:rPr>
          <w:rFonts w:ascii="Arial" w:hAnsi="Arial"/>
          <w:szCs w:val="20"/>
        </w:rPr>
        <w:t xml:space="preserve">The </w:t>
      </w:r>
      <w:r w:rsidR="000B5A6F" w:rsidRPr="00477054">
        <w:rPr>
          <w:rFonts w:ascii="Arial" w:hAnsi="Arial"/>
          <w:szCs w:val="20"/>
        </w:rPr>
        <w:t xml:space="preserve">NSLDS will place an </w:t>
      </w:r>
      <w:r w:rsidR="000B5A6F" w:rsidRPr="00477054">
        <w:rPr>
          <w:rFonts w:ascii="Arial" w:hAnsi="Arial"/>
          <w:b/>
          <w:bCs/>
          <w:szCs w:val="20"/>
        </w:rPr>
        <w:t xml:space="preserve">Enrollment Roster File </w:t>
      </w:r>
      <w:r w:rsidR="000B5A6F" w:rsidRPr="00477054">
        <w:rPr>
          <w:rFonts w:ascii="Arial" w:hAnsi="Arial"/>
          <w:szCs w:val="20"/>
        </w:rPr>
        <w:t xml:space="preserve">in the school’s designated SAIG mailbox on the business day of the month designated by an Enrollment Reporting Schedule.  Schools may set up their schedule using the Enrollment Reporting Schedule web page under the Enroll Tab on the </w:t>
      </w:r>
      <w:hyperlink r:id="rId17" w:history="1">
        <w:r w:rsidR="000B5A6F" w:rsidRPr="00477054">
          <w:rPr>
            <w:rStyle w:val="Hyperlink"/>
            <w:b/>
            <w:bCs/>
            <w:iCs/>
            <w:sz w:val="20"/>
            <w:szCs w:val="20"/>
          </w:rPr>
          <w:t>NSLDS Website</w:t>
        </w:r>
      </w:hyperlink>
      <w:r w:rsidR="00873559">
        <w:rPr>
          <w:rFonts w:ascii="Arial" w:hAnsi="Arial"/>
          <w:szCs w:val="20"/>
        </w:rPr>
        <w:t>.</w:t>
      </w:r>
    </w:p>
    <w:p w14:paraId="7DFAD5FC" w14:textId="77777777" w:rsidR="000B5A6F" w:rsidRPr="00477054" w:rsidRDefault="000B5A6F" w:rsidP="000B5A6F">
      <w:pPr>
        <w:autoSpaceDE w:val="0"/>
        <w:autoSpaceDN w:val="0"/>
        <w:adjustRightInd w:val="0"/>
        <w:rPr>
          <w:rFonts w:ascii="Arial" w:hAnsi="Arial"/>
          <w:i/>
          <w:iCs/>
          <w:szCs w:val="20"/>
        </w:rPr>
      </w:pPr>
    </w:p>
    <w:p w14:paraId="1AF0243A" w14:textId="77777777" w:rsidR="000B5A6F" w:rsidRPr="00477054" w:rsidRDefault="000B5A6F" w:rsidP="000B5A6F">
      <w:pPr>
        <w:autoSpaceDE w:val="0"/>
        <w:autoSpaceDN w:val="0"/>
        <w:adjustRightInd w:val="0"/>
        <w:rPr>
          <w:rFonts w:ascii="Arial" w:hAnsi="Arial"/>
          <w:szCs w:val="20"/>
        </w:rPr>
      </w:pPr>
      <w:r w:rsidRPr="00477054">
        <w:rPr>
          <w:rFonts w:ascii="Arial" w:hAnsi="Arial"/>
          <w:szCs w:val="20"/>
        </w:rPr>
        <w:t xml:space="preserve">Responses to the Enrollment Roster File are due within </w:t>
      </w:r>
      <w:r w:rsidRPr="00477054">
        <w:rPr>
          <w:rFonts w:ascii="Arial" w:hAnsi="Arial"/>
          <w:b/>
          <w:bCs/>
          <w:szCs w:val="20"/>
        </w:rPr>
        <w:t>30 days</w:t>
      </w:r>
      <w:r w:rsidRPr="00477054">
        <w:rPr>
          <w:rFonts w:ascii="Arial" w:hAnsi="Arial"/>
          <w:color w:val="000080"/>
          <w:szCs w:val="20"/>
        </w:rPr>
        <w:t xml:space="preserve"> </w:t>
      </w:r>
      <w:r w:rsidRPr="00477054">
        <w:rPr>
          <w:rFonts w:ascii="Arial" w:hAnsi="Arial"/>
          <w:szCs w:val="20"/>
        </w:rPr>
        <w:t xml:space="preserve">of receiving the file in the school's SAIG mailbox.  After the Roster File is updated, the school returns it either as a </w:t>
      </w:r>
      <w:r w:rsidRPr="00477054">
        <w:rPr>
          <w:rFonts w:ascii="Arial" w:hAnsi="Arial"/>
          <w:b/>
          <w:bCs/>
          <w:szCs w:val="20"/>
        </w:rPr>
        <w:t>Submittal File</w:t>
      </w:r>
      <w:r w:rsidRPr="00477054">
        <w:rPr>
          <w:rFonts w:ascii="Arial" w:hAnsi="Arial"/>
          <w:szCs w:val="20"/>
        </w:rPr>
        <w:t xml:space="preserve"> or by completing it online, eliminating the need to return a Submittal File.</w:t>
      </w:r>
    </w:p>
    <w:p w14:paraId="09AA8C55" w14:textId="77777777" w:rsidR="000B5A6F" w:rsidRPr="00477054" w:rsidRDefault="000B5A6F" w:rsidP="000B5A6F">
      <w:pPr>
        <w:autoSpaceDE w:val="0"/>
        <w:autoSpaceDN w:val="0"/>
        <w:adjustRightInd w:val="0"/>
        <w:rPr>
          <w:rFonts w:ascii="Arial" w:hAnsi="Arial"/>
          <w:szCs w:val="20"/>
        </w:rPr>
      </w:pPr>
    </w:p>
    <w:p w14:paraId="6ED64263" w14:textId="496C4C85" w:rsidR="000B5A6F" w:rsidRPr="00477054" w:rsidRDefault="0026721E" w:rsidP="000B5A6F">
      <w:pPr>
        <w:autoSpaceDE w:val="0"/>
        <w:autoSpaceDN w:val="0"/>
        <w:adjustRightInd w:val="0"/>
        <w:rPr>
          <w:rFonts w:ascii="Arial" w:hAnsi="Arial"/>
          <w:szCs w:val="20"/>
        </w:rPr>
      </w:pPr>
      <w:r>
        <w:rPr>
          <w:rFonts w:ascii="Arial" w:hAnsi="Arial"/>
          <w:szCs w:val="20"/>
        </w:rPr>
        <w:t xml:space="preserve">The </w:t>
      </w:r>
      <w:r w:rsidR="000B5A6F" w:rsidRPr="00477054">
        <w:rPr>
          <w:rFonts w:ascii="Arial" w:hAnsi="Arial"/>
          <w:szCs w:val="20"/>
        </w:rPr>
        <w:t>NSLDS processes the submittal</w:t>
      </w:r>
      <w:r w:rsidR="000B5A6F" w:rsidRPr="00477054">
        <w:rPr>
          <w:rFonts w:ascii="Arial" w:hAnsi="Arial"/>
          <w:color w:val="0000FF"/>
          <w:szCs w:val="20"/>
        </w:rPr>
        <w:t xml:space="preserve"> </w:t>
      </w:r>
      <w:r w:rsidR="000B5A6F" w:rsidRPr="00477054">
        <w:rPr>
          <w:rFonts w:ascii="Arial" w:hAnsi="Arial"/>
          <w:szCs w:val="20"/>
        </w:rPr>
        <w:t xml:space="preserve">file and returns an </w:t>
      </w:r>
      <w:r w:rsidR="000B5A6F" w:rsidRPr="00477054">
        <w:rPr>
          <w:rFonts w:ascii="Arial" w:hAnsi="Arial"/>
          <w:b/>
          <w:bCs/>
          <w:szCs w:val="20"/>
        </w:rPr>
        <w:t>Acknowledgement/Error File</w:t>
      </w:r>
      <w:r>
        <w:rPr>
          <w:rFonts w:ascii="Arial" w:hAnsi="Arial"/>
          <w:b/>
          <w:bCs/>
          <w:szCs w:val="20"/>
        </w:rPr>
        <w:t xml:space="preserve">, </w:t>
      </w:r>
      <w:r w:rsidRPr="009560C9">
        <w:rPr>
          <w:rFonts w:ascii="Arial" w:hAnsi="Arial"/>
          <w:szCs w:val="20"/>
        </w:rPr>
        <w:t>which</w:t>
      </w:r>
      <w:r w:rsidR="000B5A6F" w:rsidRPr="00477054">
        <w:rPr>
          <w:rFonts w:ascii="Arial" w:hAnsi="Arial"/>
          <w:szCs w:val="20"/>
        </w:rPr>
        <w:t xml:space="preserve"> contains a count of accepted records and any error records.  Error records must be corrected and returned within </w:t>
      </w:r>
      <w:r w:rsidR="00262B13">
        <w:rPr>
          <w:rFonts w:ascii="Arial" w:hAnsi="Arial"/>
          <w:szCs w:val="20"/>
        </w:rPr>
        <w:t>15</w:t>
      </w:r>
      <w:r w:rsidR="00262B13" w:rsidRPr="00477054">
        <w:rPr>
          <w:rFonts w:ascii="Arial" w:hAnsi="Arial"/>
          <w:szCs w:val="20"/>
        </w:rPr>
        <w:t xml:space="preserve"> </w:t>
      </w:r>
      <w:r w:rsidR="000B5A6F" w:rsidRPr="00477054">
        <w:rPr>
          <w:rFonts w:ascii="Arial" w:hAnsi="Arial"/>
          <w:szCs w:val="20"/>
        </w:rPr>
        <w:t xml:space="preserve">days of receipt of the Acknowledgement/Error File. </w:t>
      </w:r>
      <w:r w:rsidR="00873559">
        <w:rPr>
          <w:rFonts w:ascii="Arial" w:hAnsi="Arial"/>
          <w:szCs w:val="20"/>
        </w:rPr>
        <w:t xml:space="preserve"> </w:t>
      </w:r>
      <w:r w:rsidR="000B5A6F" w:rsidRPr="00477054">
        <w:rPr>
          <w:rFonts w:ascii="Arial" w:hAnsi="Arial"/>
          <w:szCs w:val="20"/>
        </w:rPr>
        <w:t xml:space="preserve">The file is returned as an </w:t>
      </w:r>
      <w:r w:rsidR="000B5A6F" w:rsidRPr="00477054">
        <w:rPr>
          <w:rFonts w:ascii="Arial" w:hAnsi="Arial"/>
          <w:b/>
          <w:bCs/>
          <w:szCs w:val="20"/>
        </w:rPr>
        <w:t>Error Correction File</w:t>
      </w:r>
      <w:r w:rsidR="000B5A6F" w:rsidRPr="00477054">
        <w:rPr>
          <w:rFonts w:ascii="Arial" w:hAnsi="Arial"/>
          <w:szCs w:val="20"/>
        </w:rPr>
        <w:t xml:space="preserve">.  The Acknowledgement/Error File may not </w:t>
      </w:r>
      <w:r w:rsidR="00873559">
        <w:rPr>
          <w:rFonts w:ascii="Arial" w:hAnsi="Arial"/>
          <w:szCs w:val="20"/>
        </w:rPr>
        <w:t xml:space="preserve">always </w:t>
      </w:r>
      <w:r w:rsidR="000B5A6F" w:rsidRPr="00477054">
        <w:rPr>
          <w:rFonts w:ascii="Arial" w:hAnsi="Arial"/>
          <w:szCs w:val="20"/>
        </w:rPr>
        <w:t xml:space="preserve">indicate any errors but will </w:t>
      </w:r>
      <w:r w:rsidR="00873559">
        <w:rPr>
          <w:rFonts w:ascii="Arial" w:hAnsi="Arial"/>
          <w:szCs w:val="20"/>
        </w:rPr>
        <w:t xml:space="preserve">instead </w:t>
      </w:r>
      <w:r w:rsidR="000B5A6F" w:rsidRPr="00477054">
        <w:rPr>
          <w:rFonts w:ascii="Arial" w:hAnsi="Arial"/>
          <w:szCs w:val="20"/>
        </w:rPr>
        <w:t>serve as proof that the Submittal File was received and processed by NSLDS and should be kept for audit purposes.</w:t>
      </w:r>
    </w:p>
    <w:p w14:paraId="2CBDC1EF" w14:textId="77777777" w:rsidR="000B5A6F" w:rsidRPr="000B5A6F" w:rsidRDefault="000B5A6F" w:rsidP="000B5A6F">
      <w:pPr>
        <w:rPr>
          <w:rFonts w:ascii="Arial" w:hAnsi="Arial"/>
        </w:rPr>
      </w:pPr>
    </w:p>
    <w:p w14:paraId="06C5ABF2" w14:textId="77777777" w:rsidR="000B5A6F" w:rsidRPr="000B5A6F" w:rsidRDefault="000B5A6F" w:rsidP="000B5A6F">
      <w:pPr>
        <w:pStyle w:val="BodyText"/>
        <w:rPr>
          <w:rFonts w:ascii="Arial" w:hAnsi="Arial"/>
          <w:b/>
          <w:color w:val="FF0000"/>
        </w:rPr>
      </w:pPr>
    </w:p>
    <w:p w14:paraId="68620647" w14:textId="77777777" w:rsidR="008D3230" w:rsidRPr="000B5A6F" w:rsidRDefault="008D3230" w:rsidP="000B5A6F">
      <w:pPr>
        <w:rPr>
          <w:rFonts w:ascii="Arial" w:hAnsi="Arial"/>
        </w:rPr>
      </w:pPr>
    </w:p>
    <w:sectPr w:rsidR="008D3230" w:rsidRPr="000B5A6F" w:rsidSect="00D52B5E">
      <w:headerReference w:type="default" r:id="rId18"/>
      <w:footerReference w:type="even" r:id="rId19"/>
      <w:footerReference w:type="default" r:id="rId20"/>
      <w:pgSz w:w="12240" w:h="15840"/>
      <w:pgMar w:top="1710" w:right="720" w:bottom="2340" w:left="360" w:header="36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4A2B" w14:textId="77777777" w:rsidR="002A0EDA" w:rsidRDefault="002A0EDA">
      <w:r>
        <w:separator/>
      </w:r>
    </w:p>
  </w:endnote>
  <w:endnote w:type="continuationSeparator" w:id="0">
    <w:p w14:paraId="2BC9D347" w14:textId="77777777" w:rsidR="002A0EDA" w:rsidRDefault="002A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ong">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2D06" w14:textId="77777777" w:rsidR="00C8797C" w:rsidRDefault="00B13585">
    <w:pPr>
      <w:pStyle w:val="Footer"/>
      <w:framePr w:wrap="around" w:vAnchor="text" w:hAnchor="margin" w:xAlign="right" w:y="1"/>
      <w:rPr>
        <w:rStyle w:val="PageNumber"/>
      </w:rPr>
    </w:pPr>
    <w:r>
      <w:rPr>
        <w:rStyle w:val="PageNumber"/>
      </w:rPr>
      <w:fldChar w:fldCharType="begin"/>
    </w:r>
    <w:r w:rsidR="00C8797C">
      <w:rPr>
        <w:rStyle w:val="PageNumber"/>
      </w:rPr>
      <w:instrText xml:space="preserve">PAGE  </w:instrText>
    </w:r>
    <w:r>
      <w:rPr>
        <w:rStyle w:val="PageNumber"/>
      </w:rPr>
      <w:fldChar w:fldCharType="end"/>
    </w:r>
  </w:p>
  <w:p w14:paraId="57FF254E" w14:textId="77777777" w:rsidR="00C8797C" w:rsidRDefault="00C87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B8DF" w14:textId="77777777" w:rsidR="00C8797C" w:rsidRDefault="004178BD">
    <w:pPr>
      <w:pStyle w:val="Footer"/>
      <w:pBdr>
        <w:bottom w:val="single" w:sz="12" w:space="0" w:color="006287"/>
      </w:pBdr>
      <w:ind w:left="360"/>
      <w:jc w:val="right"/>
      <w:rPr>
        <w:b/>
        <w:color w:val="006287"/>
      </w:rPr>
    </w:pPr>
    <w:r>
      <w:rPr>
        <w:b/>
        <w:color w:val="006287"/>
      </w:rPr>
      <w:t>2020-2021</w:t>
    </w:r>
    <w:r w:rsidR="004B1F76">
      <w:rPr>
        <w:b/>
        <w:color w:val="006287"/>
      </w:rPr>
      <w:t xml:space="preserve"> award year -</w:t>
    </w:r>
    <w:r>
      <w:rPr>
        <w:b/>
        <w:color w:val="006287"/>
      </w:rPr>
      <w:t xml:space="preserve"> </w:t>
    </w:r>
    <w:r w:rsidR="004B1F76">
      <w:rPr>
        <w:b/>
        <w:color w:val="006287"/>
      </w:rPr>
      <w:t>last u</w:t>
    </w:r>
    <w:r w:rsidR="00EF2556">
      <w:rPr>
        <w:b/>
        <w:color w:val="006287"/>
      </w:rPr>
      <w:t xml:space="preserve">pdated </w:t>
    </w:r>
    <w:r>
      <w:rPr>
        <w:b/>
        <w:color w:val="006287"/>
      </w:rPr>
      <w:t>November 2020</w:t>
    </w:r>
  </w:p>
  <w:p w14:paraId="51B70207" w14:textId="77777777" w:rsidR="00C8797C" w:rsidRDefault="00C8797C">
    <w:pPr>
      <w:pStyle w:val="Footer"/>
      <w:ind w:left="360"/>
      <w:jc w:val="right"/>
      <w:rPr>
        <w:b/>
        <w:color w:val="006287"/>
      </w:rPr>
    </w:pPr>
    <w:r>
      <w:rPr>
        <w:i/>
        <w:color w:val="006287"/>
        <w:sz w:val="18"/>
      </w:rPr>
      <w:t xml:space="preserve">Page </w:t>
    </w:r>
    <w:r w:rsidR="00B13585">
      <w:rPr>
        <w:i/>
        <w:color w:val="006287"/>
        <w:sz w:val="18"/>
      </w:rPr>
      <w:fldChar w:fldCharType="begin"/>
    </w:r>
    <w:r>
      <w:rPr>
        <w:i/>
        <w:color w:val="006287"/>
        <w:sz w:val="18"/>
      </w:rPr>
      <w:instrText xml:space="preserve"> PAGE </w:instrText>
    </w:r>
    <w:r w:rsidR="00B13585">
      <w:rPr>
        <w:i/>
        <w:color w:val="006287"/>
        <w:sz w:val="18"/>
      </w:rPr>
      <w:fldChar w:fldCharType="separate"/>
    </w:r>
    <w:r w:rsidR="002B00C2">
      <w:rPr>
        <w:i/>
        <w:noProof/>
        <w:color w:val="006287"/>
        <w:sz w:val="18"/>
      </w:rPr>
      <w:t>2</w:t>
    </w:r>
    <w:r w:rsidR="00B13585">
      <w:rPr>
        <w:i/>
        <w:color w:val="006287"/>
        <w:sz w:val="18"/>
      </w:rPr>
      <w:fldChar w:fldCharType="end"/>
    </w:r>
    <w:r>
      <w:rPr>
        <w:i/>
        <w:color w:val="006287"/>
        <w:sz w:val="18"/>
      </w:rPr>
      <w:t xml:space="preserve"> of </w:t>
    </w:r>
    <w:r w:rsidR="00B13585">
      <w:rPr>
        <w:i/>
        <w:color w:val="006287"/>
        <w:sz w:val="18"/>
      </w:rPr>
      <w:fldChar w:fldCharType="begin"/>
    </w:r>
    <w:r>
      <w:rPr>
        <w:i/>
        <w:color w:val="006287"/>
        <w:sz w:val="18"/>
      </w:rPr>
      <w:instrText xml:space="preserve"> NUMPAGES </w:instrText>
    </w:r>
    <w:r w:rsidR="00B13585">
      <w:rPr>
        <w:i/>
        <w:color w:val="006287"/>
        <w:sz w:val="18"/>
      </w:rPr>
      <w:fldChar w:fldCharType="separate"/>
    </w:r>
    <w:r w:rsidR="002B00C2">
      <w:rPr>
        <w:i/>
        <w:noProof/>
        <w:color w:val="006287"/>
        <w:sz w:val="18"/>
      </w:rPr>
      <w:t>2</w:t>
    </w:r>
    <w:r w:rsidR="00B13585">
      <w:rPr>
        <w:i/>
        <w:color w:val="006287"/>
        <w:sz w:val="18"/>
      </w:rPr>
      <w:fldChar w:fldCharType="end"/>
    </w:r>
    <w:r>
      <w:rPr>
        <w:i/>
        <w:color w:val="006287"/>
        <w:sz w:val="18"/>
      </w:rPr>
      <w:t xml:space="preserve">                                                                                                                                                             </w:t>
    </w:r>
    <w:r>
      <w:rPr>
        <w:i/>
        <w:color w:val="999999"/>
        <w:sz w:val="16"/>
      </w:rPr>
      <w:t>Federal Student Aid Assessment Activities</w:t>
    </w:r>
  </w:p>
  <w:p w14:paraId="74D5972A" w14:textId="77777777" w:rsidR="00C8797C" w:rsidRDefault="00C8797C">
    <w:pPr>
      <w:pStyle w:val="Foote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02BF" w14:textId="77777777" w:rsidR="002A0EDA" w:rsidRDefault="002A0EDA">
      <w:r>
        <w:separator/>
      </w:r>
    </w:p>
  </w:footnote>
  <w:footnote w:type="continuationSeparator" w:id="0">
    <w:p w14:paraId="2BE64C21" w14:textId="77777777" w:rsidR="002A0EDA" w:rsidRDefault="002A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004B" w14:textId="0DF31624" w:rsidR="00C8797C" w:rsidRDefault="00517AF7">
    <w:pPr>
      <w:tabs>
        <w:tab w:val="left" w:pos="360"/>
      </w:tabs>
      <w:ind w:left="360"/>
    </w:pPr>
    <w:r>
      <w:rPr>
        <w:noProof/>
      </w:rPr>
      <mc:AlternateContent>
        <mc:Choice Requires="wps">
          <w:drawing>
            <wp:anchor distT="0" distB="0" distL="114300" distR="114300" simplePos="0" relativeHeight="251657728" behindDoc="0" locked="0" layoutInCell="1" allowOverlap="1" wp14:anchorId="36C44472" wp14:editId="623E5FEE">
              <wp:simplePos x="0" y="0"/>
              <wp:positionH relativeFrom="column">
                <wp:posOffset>-291465</wp:posOffset>
              </wp:positionH>
              <wp:positionV relativeFrom="paragraph">
                <wp:posOffset>78740</wp:posOffset>
              </wp:positionV>
              <wp:extent cx="5177790" cy="49276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492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F9272" w14:textId="77777777" w:rsidR="00C8797C" w:rsidRPr="00B54B40" w:rsidRDefault="00C8797C">
                          <w:pPr>
                            <w:pStyle w:val="Header"/>
                            <w:tabs>
                              <w:tab w:val="left" w:pos="810"/>
                            </w:tabs>
                            <w:ind w:left="810"/>
                            <w:rPr>
                              <w:b/>
                              <w:color w:val="4F81BD"/>
                              <w:sz w:val="24"/>
                            </w:rPr>
                          </w:pPr>
                          <w:r w:rsidRPr="00B54B40">
                            <w:rPr>
                              <w:b/>
                              <w:color w:val="4F81BD"/>
                              <w:sz w:val="24"/>
                            </w:rPr>
                            <w:t>DEFAULT PREVENTION &amp; MANAGEMENT</w:t>
                          </w:r>
                        </w:p>
                        <w:p w14:paraId="7591D62F" w14:textId="77777777" w:rsidR="00C8797C" w:rsidRDefault="00C87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4472" id="_x0000_t202" coordsize="21600,21600" o:spt="202" path="m,l,21600r21600,l21600,xe">
              <v:stroke joinstyle="miter"/>
              <v:path gradientshapeok="t" o:connecttype="rect"/>
            </v:shapetype>
            <v:shape id="Text Box 2" o:spid="_x0000_s1026" type="#_x0000_t202" style="position:absolute;left:0;text-align:left;margin-left:-22.95pt;margin-top:6.2pt;width:407.7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zVEAIAAAwEAAAOAAAAZHJzL2Uyb0RvYy54bWysU9uO0zAQfUfiHyy/07RRd0ujpqulqyKk&#10;5SLt8gGO4yQWjseM3SbL1zN22lLgDZEHK3PxmZlzxpu7sTfsqNBrsCVfzOacKSuh1rYt+dfn/Zu3&#10;nPkgbC0MWFXyF+X53fb1q83gCpVDB6ZWyAjE+mJwJe9CcEWWedmpXvgZOGUp2AD2IpCJbVajGAi9&#10;N1k+n99mA2DtEKTynrwPU5BvE37TKBk+N41XgZmSU28hnZjOKp7ZdiOKFoXrtDy1If6hi15oS0Uv&#10;UA8iCHZA/RdUryWChybMJPQZNI2WKs1A0yzmf0zz1Amn0ixEjncXmvz/g5Wfjl+Q6brkOWdW9CTR&#10;sxoDewcjyyM7g/MFJT05SgsjuUnlNKl3jyC/eWZh1wnbqntEGDolaupuEW9mV1cnHB9BquEj1FRG&#10;HAIkoLHBPlJHZDBCJ5VeLsrEViQ5bxar1WpNIUmx5Tpf3SbpMlGcbzv04b2CnsWfkiMpn9DF8dGH&#10;2I0ozimxmAej6702JhnYVjuD7ChoS/bpm+4a14nJey7np9SE9xuGsRHJQsScykVP4iCOPREQxmo8&#10;cVpB/UJsIEwrSU+IfjrAH5wNtI4l998PAhVn5oMlRteL5TLubzKWN6ucDLyOVNcRYSVBlTxwNv3u&#10;wrTzB4e67ajSpKGFe1Kh0YmgKNfU1alvWrk05+l5xJ2+tlPWr0e8/QkAAP//AwBQSwMEFAAGAAgA&#10;AAAhANaI40XfAAAACQEAAA8AAABkcnMvZG93bnJldi54bWxMj8FOwzAQRO9I/IO1SFxQaxO1JQlx&#10;KlTBAQmQCHB34iVJiddR7Lbh71lOcFzN08zbYju7QRxxCr0nDddLBQKp8banVsP728MiBRGiIWsG&#10;T6jhGwNsy/OzwuTWn+gVj1VsBZdQyI2GLsYxlzI0HToTln5E4uzTT85EPqdW2smcuNwNMlFqI53p&#10;iRc6M+Kuw+arOjjevZ/T8aN+2u0fq6t6n7xQ/5yS1pcX890tiIhz/IPhV5/VoWSn2h/IBjFoWKzW&#10;GaMcJCsQDNxssjWIWkOmFMiykP8/KH8AAAD//wMAUEsBAi0AFAAGAAgAAAAhALaDOJL+AAAA4QEA&#10;ABMAAAAAAAAAAAAAAAAAAAAAAFtDb250ZW50X1R5cGVzXS54bWxQSwECLQAUAAYACAAAACEAOP0h&#10;/9YAAACUAQAACwAAAAAAAAAAAAAAAAAvAQAAX3JlbHMvLnJlbHNQSwECLQAUAAYACAAAACEAtAJM&#10;1RACAAAMBAAADgAAAAAAAAAAAAAAAAAuAgAAZHJzL2Uyb0RvYy54bWxQSwECLQAUAAYACAAAACEA&#10;1ojjRd8AAAAJAQAADwAAAAAAAAAAAAAAAABqBAAAZHJzL2Rvd25yZXYueG1sUEsFBgAAAAAEAAQA&#10;8wAAAHYFAAAAAA==&#10;" stroked="f">
              <v:fill opacity="0"/>
              <v:textbox>
                <w:txbxContent>
                  <w:p w14:paraId="07AF9272" w14:textId="77777777" w:rsidR="00C8797C" w:rsidRPr="00B54B40" w:rsidRDefault="00C8797C">
                    <w:pPr>
                      <w:pStyle w:val="Header"/>
                      <w:tabs>
                        <w:tab w:val="left" w:pos="810"/>
                      </w:tabs>
                      <w:ind w:left="810"/>
                      <w:rPr>
                        <w:b/>
                        <w:color w:val="4F81BD"/>
                        <w:sz w:val="24"/>
                      </w:rPr>
                    </w:pPr>
                    <w:r w:rsidRPr="00B54B40">
                      <w:rPr>
                        <w:b/>
                        <w:color w:val="4F81BD"/>
                        <w:sz w:val="24"/>
                      </w:rPr>
                      <w:t>DEFAULT PREVENTION &amp; MANAGEMENT</w:t>
                    </w:r>
                  </w:p>
                  <w:p w14:paraId="7591D62F" w14:textId="77777777" w:rsidR="00C8797C" w:rsidRDefault="00C8797C"/>
                </w:txbxContent>
              </v:textbox>
            </v:shape>
          </w:pict>
        </mc:Fallback>
      </mc:AlternateContent>
    </w:r>
    <w:r w:rsidR="00BC3A5F">
      <w:tab/>
    </w:r>
    <w:r w:rsidR="00BC3A5F">
      <w:tab/>
    </w:r>
    <w:r w:rsidR="00BC3A5F">
      <w:tab/>
    </w:r>
    <w:r w:rsidR="00BC3A5F">
      <w:tab/>
    </w:r>
    <w:r w:rsidR="00BC3A5F">
      <w:tab/>
    </w:r>
    <w:r w:rsidR="00BC3A5F">
      <w:tab/>
    </w:r>
    <w:r w:rsidR="00BC3A5F">
      <w:tab/>
    </w:r>
    <w:r w:rsidR="00BC3A5F">
      <w:tab/>
    </w:r>
    <w:r w:rsidR="00BC3A5F">
      <w:tab/>
    </w:r>
    <w:r w:rsidRPr="00AD17E4">
      <w:rPr>
        <w:noProof/>
      </w:rPr>
      <w:drawing>
        <wp:inline distT="0" distB="0" distL="0" distR="0" wp14:anchorId="22829C36" wp14:editId="2319B931">
          <wp:extent cx="2901950" cy="294005"/>
          <wp:effectExtent l="0" t="0" r="0" b="0"/>
          <wp:docPr id="1" name="Picture 2" descr="Description: https://fsa.share.ed.gov/as/comm/ProudSponsorTemplates/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fsa.share.ed.gov/as/comm/ProudSponsorTemplates/Fu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294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C80344"/>
    <w:lvl w:ilvl="0">
      <w:numFmt w:val="decimal"/>
      <w:lvlText w:val="*"/>
      <w:lvlJc w:val="left"/>
    </w:lvl>
  </w:abstractNum>
  <w:abstractNum w:abstractNumId="1" w15:restartNumberingAfterBreak="0">
    <w:nsid w:val="03882EAB"/>
    <w:multiLevelType w:val="hybridMultilevel"/>
    <w:tmpl w:val="F228961A"/>
    <w:lvl w:ilvl="0" w:tplc="4778C842">
      <w:start w:val="1"/>
      <w:numFmt w:val="decimal"/>
      <w:pStyle w:val="04BodyCopyCheckbox"/>
      <w:lvlText w:val="%1."/>
      <w:lvlJc w:val="left"/>
      <w:pPr>
        <w:tabs>
          <w:tab w:val="num" w:pos="1998"/>
        </w:tabs>
        <w:ind w:left="1998" w:hanging="360"/>
      </w:pPr>
    </w:lvl>
    <w:lvl w:ilvl="1" w:tplc="C4862E76">
      <w:start w:val="1"/>
      <w:numFmt w:val="bullet"/>
      <w:pStyle w:val="04BdyCopyBulletindent"/>
      <w:lvlText w:val=""/>
      <w:lvlJc w:val="left"/>
      <w:pPr>
        <w:tabs>
          <w:tab w:val="num" w:pos="2880"/>
        </w:tabs>
        <w:ind w:left="2880" w:hanging="360"/>
      </w:pPr>
      <w:rPr>
        <w:rFonts w:ascii="Symbol" w:hAnsi="Symbol" w:hint="default"/>
        <w:sz w:val="20"/>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631518"/>
    <w:multiLevelType w:val="hybridMultilevel"/>
    <w:tmpl w:val="D5C2FE34"/>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6521B"/>
    <w:multiLevelType w:val="hybridMultilevel"/>
    <w:tmpl w:val="D46479E8"/>
    <w:lvl w:ilvl="0" w:tplc="C3FA7DCE">
      <w:start w:val="1"/>
      <w:numFmt w:val="decimal"/>
      <w:lvlText w:val="%1."/>
      <w:lvlJc w:val="left"/>
      <w:pPr>
        <w:tabs>
          <w:tab w:val="num" w:pos="432"/>
        </w:tabs>
        <w:ind w:left="432" w:hanging="360"/>
      </w:pPr>
      <w:rPr>
        <w:rFonts w:hint="default"/>
      </w:rPr>
    </w:lvl>
    <w:lvl w:ilvl="1" w:tplc="00190409" w:tentative="1">
      <w:start w:val="1"/>
      <w:numFmt w:val="lowerLetter"/>
      <w:lvlText w:val="%2."/>
      <w:lvlJc w:val="left"/>
      <w:pPr>
        <w:tabs>
          <w:tab w:val="num" w:pos="1152"/>
        </w:tabs>
        <w:ind w:left="1152" w:hanging="360"/>
      </w:pPr>
    </w:lvl>
    <w:lvl w:ilvl="2" w:tplc="001B0409" w:tentative="1">
      <w:start w:val="1"/>
      <w:numFmt w:val="lowerRoman"/>
      <w:lvlText w:val="%3."/>
      <w:lvlJc w:val="right"/>
      <w:pPr>
        <w:tabs>
          <w:tab w:val="num" w:pos="1872"/>
        </w:tabs>
        <w:ind w:left="1872" w:hanging="180"/>
      </w:pPr>
    </w:lvl>
    <w:lvl w:ilvl="3" w:tplc="000F0409" w:tentative="1">
      <w:start w:val="1"/>
      <w:numFmt w:val="decimal"/>
      <w:lvlText w:val="%4."/>
      <w:lvlJc w:val="left"/>
      <w:pPr>
        <w:tabs>
          <w:tab w:val="num" w:pos="2592"/>
        </w:tabs>
        <w:ind w:left="2592" w:hanging="360"/>
      </w:pPr>
    </w:lvl>
    <w:lvl w:ilvl="4" w:tplc="00190409" w:tentative="1">
      <w:start w:val="1"/>
      <w:numFmt w:val="lowerLetter"/>
      <w:lvlText w:val="%5."/>
      <w:lvlJc w:val="left"/>
      <w:pPr>
        <w:tabs>
          <w:tab w:val="num" w:pos="3312"/>
        </w:tabs>
        <w:ind w:left="3312" w:hanging="360"/>
      </w:pPr>
    </w:lvl>
    <w:lvl w:ilvl="5" w:tplc="001B0409" w:tentative="1">
      <w:start w:val="1"/>
      <w:numFmt w:val="lowerRoman"/>
      <w:lvlText w:val="%6."/>
      <w:lvlJc w:val="right"/>
      <w:pPr>
        <w:tabs>
          <w:tab w:val="num" w:pos="4032"/>
        </w:tabs>
        <w:ind w:left="4032" w:hanging="180"/>
      </w:pPr>
    </w:lvl>
    <w:lvl w:ilvl="6" w:tplc="000F0409" w:tentative="1">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 w15:restartNumberingAfterBreak="0">
    <w:nsid w:val="149F473E"/>
    <w:multiLevelType w:val="hybridMultilevel"/>
    <w:tmpl w:val="D0D05CB6"/>
    <w:lvl w:ilvl="0" w:tplc="04090001">
      <w:start w:val="1"/>
      <w:numFmt w:val="bullet"/>
      <w:lvlText w:val=""/>
      <w:lvlJc w:val="left"/>
      <w:pPr>
        <w:tabs>
          <w:tab w:val="num" w:pos="720"/>
        </w:tabs>
        <w:ind w:left="720" w:hanging="360"/>
      </w:pPr>
      <w:rPr>
        <w:rFonts w:ascii="Symbol" w:hAnsi="Symbol" w:hint="default"/>
      </w:rPr>
    </w:lvl>
    <w:lvl w:ilvl="1" w:tplc="B2A88D20">
      <w:start w:val="1"/>
      <w:numFmt w:val="bullet"/>
      <w:lvlText w:val=""/>
      <w:lvlJc w:val="left"/>
      <w:pPr>
        <w:tabs>
          <w:tab w:val="num" w:pos="1440"/>
        </w:tabs>
        <w:ind w:left="1440" w:hanging="360"/>
      </w:pPr>
      <w:rPr>
        <w:rFonts w:ascii="Symbol" w:hAnsi="Symbol" w:hint="default"/>
        <w:color w:val="000000"/>
        <w:sz w:val="3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D264B3"/>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04E0C28"/>
    <w:multiLevelType w:val="multilevel"/>
    <w:tmpl w:val="B69E5ECE"/>
    <w:lvl w:ilvl="0">
      <w:start w:val="1"/>
      <w:numFmt w:val="decimal"/>
      <w:lvlText w:val="%1."/>
      <w:lvlJc w:val="left"/>
      <w:pPr>
        <w:tabs>
          <w:tab w:val="num" w:pos="2088"/>
        </w:tabs>
        <w:ind w:left="208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451744C"/>
    <w:multiLevelType w:val="multilevel"/>
    <w:tmpl w:val="9242636A"/>
    <w:lvl w:ilvl="0">
      <w:start w:val="1"/>
      <w:numFmt w:val="bullet"/>
      <w:lvlText w:val=""/>
      <w:lvlJc w:val="left"/>
      <w:pPr>
        <w:tabs>
          <w:tab w:val="num" w:pos="2070"/>
        </w:tabs>
        <w:ind w:left="2070" w:hanging="432"/>
      </w:pPr>
      <w:rPr>
        <w:rFonts w:ascii="Wingdings" w:hAnsi="Wingdings" w:hint="default"/>
        <w:strike w:val="0"/>
        <w:dstrike w:val="0"/>
        <w:sz w:val="20"/>
      </w:rPr>
    </w:lvl>
    <w:lvl w:ilvl="1">
      <w:start w:val="1"/>
      <w:numFmt w:val="bullet"/>
      <w:lvlText w:val="o"/>
      <w:lvlJc w:val="left"/>
      <w:pPr>
        <w:tabs>
          <w:tab w:val="num" w:pos="2790"/>
        </w:tabs>
        <w:ind w:left="2790" w:hanging="360"/>
      </w:pPr>
      <w:rPr>
        <w:rFonts w:ascii="Courier New" w:hAnsi="Courier New" w:hint="default"/>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hint="default"/>
      </w:rPr>
    </w:lvl>
    <w:lvl w:ilvl="8">
      <w:start w:val="1"/>
      <w:numFmt w:val="bullet"/>
      <w:lvlText w:val=""/>
      <w:lvlJc w:val="left"/>
      <w:pPr>
        <w:tabs>
          <w:tab w:val="num" w:pos="7830"/>
        </w:tabs>
        <w:ind w:left="7830" w:hanging="360"/>
      </w:pPr>
      <w:rPr>
        <w:rFonts w:ascii="Wingdings" w:hAnsi="Wingdings" w:hint="default"/>
      </w:rPr>
    </w:lvl>
  </w:abstractNum>
  <w:abstractNum w:abstractNumId="8" w15:restartNumberingAfterBreak="0">
    <w:nsid w:val="2BF33905"/>
    <w:multiLevelType w:val="multilevel"/>
    <w:tmpl w:val="769A53E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332"/>
        </w:tabs>
        <w:ind w:left="1332" w:hanging="360"/>
      </w:pPr>
      <w:rPr>
        <w:rFonts w:ascii="Courier New" w:hAnsi="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33D93C48"/>
    <w:multiLevelType w:val="multilevel"/>
    <w:tmpl w:val="0A9ED290"/>
    <w:lvl w:ilvl="0">
      <w:start w:val="1"/>
      <w:numFmt w:val="decimal"/>
      <w:lvlText w:val="%1."/>
      <w:lvlJc w:val="left"/>
      <w:pPr>
        <w:tabs>
          <w:tab w:val="num" w:pos="2088"/>
        </w:tabs>
        <w:ind w:left="208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7F6C0B"/>
    <w:multiLevelType w:val="hybridMultilevel"/>
    <w:tmpl w:val="E4C276AE"/>
    <w:lvl w:ilvl="0" w:tplc="AD6498F6">
      <w:start w:val="1"/>
      <w:numFmt w:val="bullet"/>
      <w:lvlText w:val=""/>
      <w:lvlJc w:val="left"/>
      <w:pPr>
        <w:tabs>
          <w:tab w:val="num" w:pos="648"/>
        </w:tabs>
        <w:ind w:left="648"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625BE"/>
    <w:multiLevelType w:val="hybridMultilevel"/>
    <w:tmpl w:val="66AC50D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92735"/>
    <w:multiLevelType w:val="hybridMultilevel"/>
    <w:tmpl w:val="4FAA8094"/>
    <w:lvl w:ilvl="0" w:tplc="EA8641C0">
      <w:start w:val="1"/>
      <w:numFmt w:val="bullet"/>
      <w:lvlText w:val=""/>
      <w:lvlJc w:val="left"/>
      <w:pPr>
        <w:tabs>
          <w:tab w:val="num" w:pos="1998"/>
        </w:tabs>
        <w:ind w:left="1998" w:hanging="360"/>
      </w:pPr>
      <w:rPr>
        <w:rFonts w:ascii="Wingdings" w:hAnsi="Wingdings" w:hint="default"/>
        <w:sz w:val="16"/>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13" w15:restartNumberingAfterBreak="0">
    <w:nsid w:val="41FC1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0F05FF"/>
    <w:multiLevelType w:val="hybridMultilevel"/>
    <w:tmpl w:val="769A53E6"/>
    <w:lvl w:ilvl="0" w:tplc="AD6498F6">
      <w:start w:val="1"/>
      <w:numFmt w:val="bullet"/>
      <w:lvlText w:val=""/>
      <w:lvlJc w:val="left"/>
      <w:pPr>
        <w:tabs>
          <w:tab w:val="num" w:pos="540"/>
        </w:tabs>
        <w:ind w:left="540" w:hanging="360"/>
      </w:pPr>
      <w:rPr>
        <w:rFonts w:ascii="Symbol" w:hAnsi="Symbol" w:hint="default"/>
        <w:sz w:val="20"/>
      </w:rPr>
    </w:lvl>
    <w:lvl w:ilvl="1" w:tplc="00030409" w:tentative="1">
      <w:start w:val="1"/>
      <w:numFmt w:val="bullet"/>
      <w:lvlText w:val="o"/>
      <w:lvlJc w:val="left"/>
      <w:pPr>
        <w:tabs>
          <w:tab w:val="num" w:pos="1332"/>
        </w:tabs>
        <w:ind w:left="1332" w:hanging="360"/>
      </w:pPr>
      <w:rPr>
        <w:rFonts w:ascii="Courier New" w:hAnsi="Courier New" w:hint="default"/>
      </w:rPr>
    </w:lvl>
    <w:lvl w:ilvl="2" w:tplc="00050409" w:tentative="1">
      <w:start w:val="1"/>
      <w:numFmt w:val="bullet"/>
      <w:lvlText w:val=""/>
      <w:lvlJc w:val="left"/>
      <w:pPr>
        <w:tabs>
          <w:tab w:val="num" w:pos="2052"/>
        </w:tabs>
        <w:ind w:left="2052" w:hanging="360"/>
      </w:pPr>
      <w:rPr>
        <w:rFonts w:ascii="Wingdings" w:hAnsi="Wingdings" w:hint="default"/>
      </w:rPr>
    </w:lvl>
    <w:lvl w:ilvl="3" w:tplc="00010409" w:tentative="1">
      <w:start w:val="1"/>
      <w:numFmt w:val="bullet"/>
      <w:lvlText w:val=""/>
      <w:lvlJc w:val="left"/>
      <w:pPr>
        <w:tabs>
          <w:tab w:val="num" w:pos="2772"/>
        </w:tabs>
        <w:ind w:left="2772" w:hanging="360"/>
      </w:pPr>
      <w:rPr>
        <w:rFonts w:ascii="Symbol" w:hAnsi="Symbol" w:hint="default"/>
      </w:rPr>
    </w:lvl>
    <w:lvl w:ilvl="4" w:tplc="00030409" w:tentative="1">
      <w:start w:val="1"/>
      <w:numFmt w:val="bullet"/>
      <w:lvlText w:val="o"/>
      <w:lvlJc w:val="left"/>
      <w:pPr>
        <w:tabs>
          <w:tab w:val="num" w:pos="3492"/>
        </w:tabs>
        <w:ind w:left="3492" w:hanging="360"/>
      </w:pPr>
      <w:rPr>
        <w:rFonts w:ascii="Courier New" w:hAnsi="Courier New" w:hint="default"/>
      </w:rPr>
    </w:lvl>
    <w:lvl w:ilvl="5" w:tplc="00050409" w:tentative="1">
      <w:start w:val="1"/>
      <w:numFmt w:val="bullet"/>
      <w:lvlText w:val=""/>
      <w:lvlJc w:val="left"/>
      <w:pPr>
        <w:tabs>
          <w:tab w:val="num" w:pos="4212"/>
        </w:tabs>
        <w:ind w:left="4212" w:hanging="360"/>
      </w:pPr>
      <w:rPr>
        <w:rFonts w:ascii="Wingdings" w:hAnsi="Wingdings" w:hint="default"/>
      </w:rPr>
    </w:lvl>
    <w:lvl w:ilvl="6" w:tplc="00010409" w:tentative="1">
      <w:start w:val="1"/>
      <w:numFmt w:val="bullet"/>
      <w:lvlText w:val=""/>
      <w:lvlJc w:val="left"/>
      <w:pPr>
        <w:tabs>
          <w:tab w:val="num" w:pos="4932"/>
        </w:tabs>
        <w:ind w:left="4932" w:hanging="360"/>
      </w:pPr>
      <w:rPr>
        <w:rFonts w:ascii="Symbol" w:hAnsi="Symbol" w:hint="default"/>
      </w:rPr>
    </w:lvl>
    <w:lvl w:ilvl="7" w:tplc="00030409" w:tentative="1">
      <w:start w:val="1"/>
      <w:numFmt w:val="bullet"/>
      <w:lvlText w:val="o"/>
      <w:lvlJc w:val="left"/>
      <w:pPr>
        <w:tabs>
          <w:tab w:val="num" w:pos="5652"/>
        </w:tabs>
        <w:ind w:left="5652" w:hanging="360"/>
      </w:pPr>
      <w:rPr>
        <w:rFonts w:ascii="Courier New" w:hAnsi="Courier New" w:hint="default"/>
      </w:rPr>
    </w:lvl>
    <w:lvl w:ilvl="8" w:tplc="00050409"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49B43695"/>
    <w:multiLevelType w:val="hybridMultilevel"/>
    <w:tmpl w:val="91EEBC48"/>
    <w:lvl w:ilvl="0" w:tplc="0E727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403E02"/>
    <w:multiLevelType w:val="hybridMultilevel"/>
    <w:tmpl w:val="079C2536"/>
    <w:lvl w:ilvl="0" w:tplc="819A57F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A2736"/>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CC145B8"/>
    <w:multiLevelType w:val="hybridMultilevel"/>
    <w:tmpl w:val="D1DC6CE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B7445"/>
    <w:multiLevelType w:val="hybridMultilevel"/>
    <w:tmpl w:val="886C0F1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C76CEB"/>
    <w:multiLevelType w:val="multilevel"/>
    <w:tmpl w:val="F5C2CB54"/>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55561D7"/>
    <w:multiLevelType w:val="hybridMultilevel"/>
    <w:tmpl w:val="9242636A"/>
    <w:lvl w:ilvl="0" w:tplc="3DF853E0">
      <w:start w:val="1"/>
      <w:numFmt w:val="bullet"/>
      <w:pStyle w:val="BodySquareBullets"/>
      <w:lvlText w:val=""/>
      <w:lvlJc w:val="left"/>
      <w:pPr>
        <w:tabs>
          <w:tab w:val="num" w:pos="2070"/>
        </w:tabs>
        <w:ind w:left="2070" w:hanging="432"/>
      </w:pPr>
      <w:rPr>
        <w:rFonts w:ascii="Wingdings" w:hAnsi="Wingdings" w:hint="default"/>
        <w:strike w:val="0"/>
        <w:dstrike w:val="0"/>
        <w:sz w:val="20"/>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22" w15:restartNumberingAfterBreak="0">
    <w:nsid w:val="696C16E6"/>
    <w:multiLevelType w:val="hybridMultilevel"/>
    <w:tmpl w:val="BDD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14EDC"/>
    <w:multiLevelType w:val="hybridMultilevel"/>
    <w:tmpl w:val="3B30026C"/>
    <w:lvl w:ilvl="0" w:tplc="CD485AB2">
      <w:start w:val="1"/>
      <w:numFmt w:val="bullet"/>
      <w:pStyle w:val="05TableCheckBox"/>
      <w:lvlText w:val=""/>
      <w:lvlJc w:val="left"/>
      <w:pPr>
        <w:tabs>
          <w:tab w:val="num" w:pos="360"/>
        </w:tabs>
        <w:ind w:left="360" w:hanging="360"/>
      </w:pPr>
      <w:rPr>
        <w:rFonts w:ascii="Wingdings" w:hAnsi="Wingdings" w:hint="default"/>
        <w:sz w:val="16"/>
      </w:rPr>
    </w:lvl>
    <w:lvl w:ilvl="1" w:tplc="634CDA2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B1F36"/>
    <w:multiLevelType w:val="multilevel"/>
    <w:tmpl w:val="9508C4C4"/>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35130F5"/>
    <w:multiLevelType w:val="multilevel"/>
    <w:tmpl w:val="78EEB0D8"/>
    <w:lvl w:ilvl="0">
      <w:start w:val="1"/>
      <w:numFmt w:val="bullet"/>
      <w:lvlText w:val=""/>
      <w:lvlJc w:val="left"/>
      <w:pPr>
        <w:tabs>
          <w:tab w:val="num" w:pos="2790"/>
        </w:tabs>
        <w:ind w:left="2790" w:hanging="432"/>
      </w:pPr>
      <w:rPr>
        <w:rFonts w:ascii="Wingdings" w:hAnsi="Wingdings" w:hint="default"/>
        <w:sz w:val="20"/>
      </w:rPr>
    </w:lvl>
    <w:lvl w:ilvl="1">
      <w:start w:val="1"/>
      <w:numFmt w:val="bullet"/>
      <w:lvlText w:val="o"/>
      <w:lvlJc w:val="left"/>
      <w:pPr>
        <w:tabs>
          <w:tab w:val="num" w:pos="2790"/>
        </w:tabs>
        <w:ind w:left="2790" w:hanging="360"/>
      </w:pPr>
      <w:rPr>
        <w:rFonts w:ascii="Courier New" w:hAnsi="Courier New" w:hint="default"/>
      </w:rPr>
    </w:lvl>
    <w:lvl w:ilvl="2">
      <w:start w:val="1"/>
      <w:numFmt w:val="bullet"/>
      <w:lvlText w:val=""/>
      <w:lvlJc w:val="left"/>
      <w:pPr>
        <w:tabs>
          <w:tab w:val="num" w:pos="3510"/>
        </w:tabs>
        <w:ind w:left="3510" w:hanging="360"/>
      </w:pPr>
      <w:rPr>
        <w:rFonts w:ascii="Wingdings" w:hAnsi="Wingdings" w:hint="default"/>
      </w:rPr>
    </w:lvl>
    <w:lvl w:ilvl="3">
      <w:start w:val="1"/>
      <w:numFmt w:val="bullet"/>
      <w:lvlText w:val=""/>
      <w:lvlJc w:val="left"/>
      <w:pPr>
        <w:tabs>
          <w:tab w:val="num" w:pos="4230"/>
        </w:tabs>
        <w:ind w:left="4230" w:hanging="360"/>
      </w:pPr>
      <w:rPr>
        <w:rFonts w:ascii="Symbol" w:hAnsi="Symbol" w:hint="default"/>
      </w:rPr>
    </w:lvl>
    <w:lvl w:ilvl="4">
      <w:start w:val="1"/>
      <w:numFmt w:val="bullet"/>
      <w:lvlText w:val="o"/>
      <w:lvlJc w:val="left"/>
      <w:pPr>
        <w:tabs>
          <w:tab w:val="num" w:pos="4950"/>
        </w:tabs>
        <w:ind w:left="4950" w:hanging="360"/>
      </w:pPr>
      <w:rPr>
        <w:rFonts w:ascii="Courier New" w:hAnsi="Courier New" w:hint="default"/>
      </w:rPr>
    </w:lvl>
    <w:lvl w:ilvl="5">
      <w:start w:val="1"/>
      <w:numFmt w:val="bullet"/>
      <w:lvlText w:val=""/>
      <w:lvlJc w:val="left"/>
      <w:pPr>
        <w:tabs>
          <w:tab w:val="num" w:pos="5670"/>
        </w:tabs>
        <w:ind w:left="5670" w:hanging="360"/>
      </w:pPr>
      <w:rPr>
        <w:rFonts w:ascii="Wingdings" w:hAnsi="Wingdings" w:hint="default"/>
      </w:rPr>
    </w:lvl>
    <w:lvl w:ilvl="6">
      <w:start w:val="1"/>
      <w:numFmt w:val="bullet"/>
      <w:lvlText w:val=""/>
      <w:lvlJc w:val="left"/>
      <w:pPr>
        <w:tabs>
          <w:tab w:val="num" w:pos="6390"/>
        </w:tabs>
        <w:ind w:left="6390" w:hanging="360"/>
      </w:pPr>
      <w:rPr>
        <w:rFonts w:ascii="Symbol" w:hAnsi="Symbol" w:hint="default"/>
      </w:rPr>
    </w:lvl>
    <w:lvl w:ilvl="7">
      <w:start w:val="1"/>
      <w:numFmt w:val="bullet"/>
      <w:lvlText w:val="o"/>
      <w:lvlJc w:val="left"/>
      <w:pPr>
        <w:tabs>
          <w:tab w:val="num" w:pos="7110"/>
        </w:tabs>
        <w:ind w:left="7110" w:hanging="360"/>
      </w:pPr>
      <w:rPr>
        <w:rFonts w:ascii="Courier New" w:hAnsi="Courier New" w:hint="default"/>
      </w:rPr>
    </w:lvl>
    <w:lvl w:ilvl="8">
      <w:start w:val="1"/>
      <w:numFmt w:val="bullet"/>
      <w:lvlText w:val=""/>
      <w:lvlJc w:val="left"/>
      <w:pPr>
        <w:tabs>
          <w:tab w:val="num" w:pos="7830"/>
        </w:tabs>
        <w:ind w:left="7830" w:hanging="360"/>
      </w:pPr>
      <w:rPr>
        <w:rFonts w:ascii="Wingdings" w:hAnsi="Wingdings" w:hint="default"/>
      </w:rPr>
    </w:lvl>
  </w:abstractNum>
  <w:abstractNum w:abstractNumId="26" w15:restartNumberingAfterBreak="0">
    <w:nsid w:val="76D527A3"/>
    <w:multiLevelType w:val="hybridMultilevel"/>
    <w:tmpl w:val="A342CD92"/>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B7BB8"/>
    <w:multiLevelType w:val="multilevel"/>
    <w:tmpl w:val="2244F086"/>
    <w:lvl w:ilvl="0">
      <w:start w:val="1"/>
      <w:numFmt w:val="decimal"/>
      <w:lvlText w:val="%1."/>
      <w:lvlJc w:val="left"/>
      <w:pPr>
        <w:tabs>
          <w:tab w:val="num" w:pos="1998"/>
        </w:tabs>
        <w:ind w:left="1998" w:hanging="360"/>
      </w:p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83564D1"/>
    <w:multiLevelType w:val="hybridMultilevel"/>
    <w:tmpl w:val="079C2536"/>
    <w:lvl w:ilvl="0" w:tplc="819A57F4">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DD6688"/>
    <w:multiLevelType w:val="hybridMultilevel"/>
    <w:tmpl w:val="687E3186"/>
    <w:lvl w:ilvl="0" w:tplc="819A57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011C7"/>
    <w:multiLevelType w:val="hybridMultilevel"/>
    <w:tmpl w:val="4CB4EF80"/>
    <w:lvl w:ilvl="0" w:tplc="DDEA1902">
      <w:start w:val="1"/>
      <w:numFmt w:val="bullet"/>
      <w:lvlText w:val=""/>
      <w:lvlJc w:val="left"/>
      <w:pPr>
        <w:tabs>
          <w:tab w:val="num" w:pos="2790"/>
        </w:tabs>
        <w:ind w:left="2790" w:hanging="432"/>
      </w:pPr>
      <w:rPr>
        <w:rFonts w:ascii="Wingdings" w:hAnsi="Wingdings" w:hint="default"/>
        <w:sz w:val="20"/>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num w:numId="1">
    <w:abstractNumId w:val="14"/>
  </w:num>
  <w:num w:numId="2">
    <w:abstractNumId w:val="8"/>
  </w:num>
  <w:num w:numId="3">
    <w:abstractNumId w:val="10"/>
  </w:num>
  <w:num w:numId="4">
    <w:abstractNumId w:val="1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
  </w:num>
  <w:num w:numId="8">
    <w:abstractNumId w:val="16"/>
  </w:num>
  <w:num w:numId="9">
    <w:abstractNumId w:val="28"/>
  </w:num>
  <w:num w:numId="10">
    <w:abstractNumId w:val="26"/>
  </w:num>
  <w:num w:numId="11">
    <w:abstractNumId w:val="18"/>
  </w:num>
  <w:num w:numId="12">
    <w:abstractNumId w:val="11"/>
  </w:num>
  <w:num w:numId="13">
    <w:abstractNumId w:val="29"/>
  </w:num>
  <w:num w:numId="14">
    <w:abstractNumId w:val="1"/>
  </w:num>
  <w:num w:numId="15">
    <w:abstractNumId w:val="3"/>
  </w:num>
  <w:num w:numId="16">
    <w:abstractNumId w:val="9"/>
  </w:num>
  <w:num w:numId="17">
    <w:abstractNumId w:val="1"/>
  </w:num>
  <w:num w:numId="18">
    <w:abstractNumId w:val="6"/>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20"/>
  </w:num>
  <w:num w:numId="23">
    <w:abstractNumId w:val="1"/>
    <w:lvlOverride w:ilvl="0">
      <w:startOverride w:val="1"/>
    </w:lvlOverride>
  </w:num>
  <w:num w:numId="24">
    <w:abstractNumId w:val="24"/>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7"/>
  </w:num>
  <w:num w:numId="31">
    <w:abstractNumId w:val="5"/>
  </w:num>
  <w:num w:numId="32">
    <w:abstractNumId w:val="27"/>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30"/>
  </w:num>
  <w:num w:numId="38">
    <w:abstractNumId w:val="25"/>
  </w:num>
  <w:num w:numId="39">
    <w:abstractNumId w:val="21"/>
  </w:num>
  <w:num w:numId="40">
    <w:abstractNumId w:val="7"/>
  </w:num>
  <w:num w:numId="41">
    <w:abstractNumId w:val="13"/>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15"/>
  </w:num>
  <w:num w:numId="44">
    <w:abstractNumId w:val="1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0"/>
    <w:rsid w:val="0001029A"/>
    <w:rsid w:val="0009563B"/>
    <w:rsid w:val="000B5A6F"/>
    <w:rsid w:val="000E0731"/>
    <w:rsid w:val="00134CB3"/>
    <w:rsid w:val="0013500A"/>
    <w:rsid w:val="0016335C"/>
    <w:rsid w:val="001870C7"/>
    <w:rsid w:val="001C7B92"/>
    <w:rsid w:val="001D4C16"/>
    <w:rsid w:val="001E6731"/>
    <w:rsid w:val="001E6D9A"/>
    <w:rsid w:val="001F7B11"/>
    <w:rsid w:val="0021513B"/>
    <w:rsid w:val="0021608A"/>
    <w:rsid w:val="0025043B"/>
    <w:rsid w:val="00250454"/>
    <w:rsid w:val="00262B13"/>
    <w:rsid w:val="0026721E"/>
    <w:rsid w:val="00285B60"/>
    <w:rsid w:val="002A0EDA"/>
    <w:rsid w:val="002B00C2"/>
    <w:rsid w:val="002F06C3"/>
    <w:rsid w:val="0032714A"/>
    <w:rsid w:val="003306A1"/>
    <w:rsid w:val="00332C6E"/>
    <w:rsid w:val="003453BA"/>
    <w:rsid w:val="00380B80"/>
    <w:rsid w:val="00382337"/>
    <w:rsid w:val="00394EA8"/>
    <w:rsid w:val="003A3A1B"/>
    <w:rsid w:val="003B2CE0"/>
    <w:rsid w:val="003C1A48"/>
    <w:rsid w:val="003D2B66"/>
    <w:rsid w:val="003D4527"/>
    <w:rsid w:val="004178BD"/>
    <w:rsid w:val="00453D5D"/>
    <w:rsid w:val="00477054"/>
    <w:rsid w:val="0048429C"/>
    <w:rsid w:val="004B1F76"/>
    <w:rsid w:val="004E7094"/>
    <w:rsid w:val="004F1014"/>
    <w:rsid w:val="00517AF7"/>
    <w:rsid w:val="00546F4B"/>
    <w:rsid w:val="005560FA"/>
    <w:rsid w:val="005833AB"/>
    <w:rsid w:val="005D142C"/>
    <w:rsid w:val="0061535E"/>
    <w:rsid w:val="006325E3"/>
    <w:rsid w:val="00640225"/>
    <w:rsid w:val="006815C8"/>
    <w:rsid w:val="00694787"/>
    <w:rsid w:val="00696BDB"/>
    <w:rsid w:val="006E7C82"/>
    <w:rsid w:val="0070401F"/>
    <w:rsid w:val="007220B0"/>
    <w:rsid w:val="007819B9"/>
    <w:rsid w:val="00873559"/>
    <w:rsid w:val="00897602"/>
    <w:rsid w:val="008D3230"/>
    <w:rsid w:val="00903AB9"/>
    <w:rsid w:val="0094244F"/>
    <w:rsid w:val="009560C9"/>
    <w:rsid w:val="009E351B"/>
    <w:rsid w:val="00A4492E"/>
    <w:rsid w:val="00A511BE"/>
    <w:rsid w:val="00A54CD4"/>
    <w:rsid w:val="00A86BBA"/>
    <w:rsid w:val="00AD6834"/>
    <w:rsid w:val="00B0161F"/>
    <w:rsid w:val="00B13585"/>
    <w:rsid w:val="00B154B7"/>
    <w:rsid w:val="00B37952"/>
    <w:rsid w:val="00B470AA"/>
    <w:rsid w:val="00B54B40"/>
    <w:rsid w:val="00BC1357"/>
    <w:rsid w:val="00BC3A5F"/>
    <w:rsid w:val="00BF50A9"/>
    <w:rsid w:val="00C552E3"/>
    <w:rsid w:val="00C62F03"/>
    <w:rsid w:val="00C8797C"/>
    <w:rsid w:val="00C91EBA"/>
    <w:rsid w:val="00CB1A15"/>
    <w:rsid w:val="00D2024D"/>
    <w:rsid w:val="00D365B1"/>
    <w:rsid w:val="00D52B5E"/>
    <w:rsid w:val="00D7740F"/>
    <w:rsid w:val="00DA2D4C"/>
    <w:rsid w:val="00DB2322"/>
    <w:rsid w:val="00DE4D97"/>
    <w:rsid w:val="00DF00BA"/>
    <w:rsid w:val="00E12069"/>
    <w:rsid w:val="00E24337"/>
    <w:rsid w:val="00E37656"/>
    <w:rsid w:val="00E91B15"/>
    <w:rsid w:val="00E97552"/>
    <w:rsid w:val="00EB2437"/>
    <w:rsid w:val="00ED1A53"/>
    <w:rsid w:val="00ED75BB"/>
    <w:rsid w:val="00EE4114"/>
    <w:rsid w:val="00EF0542"/>
    <w:rsid w:val="00EF2556"/>
    <w:rsid w:val="00F5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FEEB9"/>
  <w15:chartTrackingRefBased/>
  <w15:docId w15:val="{B74B1B01-A376-4A0E-B9CB-1EBF597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B5E"/>
    <w:rPr>
      <w:color w:val="333333"/>
      <w:szCs w:val="24"/>
    </w:rPr>
  </w:style>
  <w:style w:type="paragraph" w:styleId="Heading1">
    <w:name w:val="heading 1"/>
    <w:basedOn w:val="Normal"/>
    <w:next w:val="Normal"/>
    <w:qFormat/>
    <w:rsid w:val="00D52B5E"/>
    <w:pPr>
      <w:keepNext/>
      <w:spacing w:before="240" w:after="60"/>
      <w:outlineLvl w:val="0"/>
    </w:pPr>
    <w:rPr>
      <w:rFonts w:ascii="Arial" w:hAnsi="Arial"/>
      <w:b/>
      <w:color w:val="808080"/>
      <w:kern w:val="32"/>
      <w:sz w:val="32"/>
      <w:szCs w:val="32"/>
    </w:rPr>
  </w:style>
  <w:style w:type="paragraph" w:styleId="Heading2">
    <w:name w:val="heading 2"/>
    <w:basedOn w:val="Normal"/>
    <w:next w:val="Normal"/>
    <w:qFormat/>
    <w:rsid w:val="00D52B5E"/>
    <w:pPr>
      <w:keepNext/>
      <w:spacing w:before="240" w:after="60"/>
      <w:outlineLvl w:val="1"/>
    </w:pPr>
    <w:rPr>
      <w:rFonts w:ascii="Arial" w:hAnsi="Arial"/>
      <w:b/>
      <w:color w:val="FF6600"/>
      <w:szCs w:val="28"/>
    </w:rPr>
  </w:style>
  <w:style w:type="paragraph" w:styleId="Heading3">
    <w:name w:val="heading 3"/>
    <w:basedOn w:val="Normal"/>
    <w:next w:val="Normal"/>
    <w:qFormat/>
    <w:rsid w:val="00D52B5E"/>
    <w:pPr>
      <w:keepNext/>
      <w:spacing w:before="240" w:after="60"/>
      <w:outlineLvl w:val="2"/>
    </w:pPr>
    <w:rPr>
      <w:rFonts w:ascii="Arial" w:hAnsi="Arial"/>
      <w:b/>
      <w:sz w:val="26"/>
      <w:szCs w:val="26"/>
    </w:rPr>
  </w:style>
  <w:style w:type="paragraph" w:styleId="Heading4">
    <w:name w:val="heading 4"/>
    <w:basedOn w:val="Normal"/>
    <w:next w:val="Normal"/>
    <w:qFormat/>
    <w:rsid w:val="008D3230"/>
    <w:pPr>
      <w:keepNext/>
      <w:spacing w:before="240" w:after="60"/>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ingExercise">
    <w:name w:val="01_HeadingExercise"/>
    <w:basedOn w:val="01HeadingMain"/>
    <w:rsid w:val="00D52B5E"/>
    <w:rPr>
      <w:u w:val="single"/>
    </w:rPr>
  </w:style>
  <w:style w:type="paragraph" w:styleId="Footer">
    <w:name w:val="footer"/>
    <w:basedOn w:val="Normal"/>
    <w:link w:val="FooterChar"/>
    <w:uiPriority w:val="99"/>
    <w:rsid w:val="00D52B5E"/>
    <w:pPr>
      <w:tabs>
        <w:tab w:val="center" w:pos="4320"/>
        <w:tab w:val="right" w:pos="8640"/>
      </w:tabs>
    </w:pPr>
  </w:style>
  <w:style w:type="paragraph" w:styleId="Subtitle">
    <w:name w:val="Subtitle"/>
    <w:basedOn w:val="Normal"/>
    <w:qFormat/>
    <w:rsid w:val="008D3230"/>
    <w:pPr>
      <w:jc w:val="center"/>
    </w:pPr>
    <w:rPr>
      <w:color w:val="auto"/>
      <w:sz w:val="36"/>
    </w:rPr>
  </w:style>
  <w:style w:type="character" w:styleId="Hyperlink">
    <w:name w:val="Hyperlink"/>
    <w:rsid w:val="00D52B5E"/>
    <w:rPr>
      <w:rFonts w:ascii="Arial" w:hAnsi="Arial"/>
      <w:i/>
      <w:color w:val="006287"/>
      <w:sz w:val="18"/>
      <w:u w:val="single"/>
    </w:rPr>
  </w:style>
  <w:style w:type="paragraph" w:customStyle="1" w:styleId="01HeadingMain">
    <w:name w:val="01_Heading Main"/>
    <w:autoRedefine/>
    <w:rsid w:val="00D52B5E"/>
    <w:pPr>
      <w:ind w:left="1440" w:right="1440"/>
    </w:pPr>
    <w:rPr>
      <w:b/>
      <w:color w:val="006287"/>
      <w:sz w:val="22"/>
      <w:szCs w:val="28"/>
    </w:rPr>
  </w:style>
  <w:style w:type="paragraph" w:customStyle="1" w:styleId="04BodyCopyBullets">
    <w:name w:val="04_BodyCopy_Bullets"/>
    <w:basedOn w:val="Normal"/>
    <w:autoRedefine/>
    <w:rsid w:val="00D52B5E"/>
    <w:pPr>
      <w:tabs>
        <w:tab w:val="left" w:pos="10800"/>
      </w:tabs>
      <w:ind w:left="1440" w:right="1350"/>
    </w:pPr>
    <w:rPr>
      <w:rFonts w:ascii="Arial" w:hAnsi="Arial"/>
      <w:color w:val="4E5050"/>
    </w:rPr>
  </w:style>
  <w:style w:type="paragraph" w:customStyle="1" w:styleId="04BodyCopy">
    <w:name w:val="04_Body Copy"/>
    <w:basedOn w:val="Normal"/>
    <w:rsid w:val="00D52B5E"/>
    <w:pPr>
      <w:ind w:left="1440" w:right="720"/>
    </w:pPr>
    <w:rPr>
      <w:rFonts w:ascii="Arial" w:hAnsi="Arial"/>
      <w:color w:val="4F5151"/>
    </w:rPr>
  </w:style>
  <w:style w:type="character" w:styleId="PageNumber">
    <w:name w:val="page number"/>
    <w:rsid w:val="00D52B5E"/>
    <w:rPr>
      <w:rFonts w:ascii="Times New Roman" w:hAnsi="Times New Roman"/>
      <w:i/>
      <w:sz w:val="18"/>
    </w:rPr>
  </w:style>
  <w:style w:type="paragraph" w:styleId="Header">
    <w:name w:val="header"/>
    <w:basedOn w:val="Normal"/>
    <w:rsid w:val="00D52B5E"/>
    <w:pPr>
      <w:tabs>
        <w:tab w:val="center" w:pos="4320"/>
        <w:tab w:val="right" w:pos="8640"/>
      </w:tabs>
    </w:pPr>
  </w:style>
  <w:style w:type="paragraph" w:customStyle="1" w:styleId="04BodySquareBullets">
    <w:name w:val="04_Body_SquareBullets"/>
    <w:basedOn w:val="BodySquareBullets"/>
    <w:autoRedefine/>
    <w:rsid w:val="00D52B5E"/>
    <w:pPr>
      <w:numPr>
        <w:numId w:val="0"/>
      </w:numPr>
      <w:ind w:left="2250" w:hanging="1062"/>
    </w:pPr>
    <w:rPr>
      <w:rFonts w:ascii="Arial" w:hAnsi="Arial"/>
    </w:rPr>
  </w:style>
  <w:style w:type="paragraph" w:customStyle="1" w:styleId="05TableCheckBox">
    <w:name w:val="05_Table_CheckBox"/>
    <w:basedOn w:val="Normal"/>
    <w:autoRedefine/>
    <w:rsid w:val="00D52B5E"/>
    <w:pPr>
      <w:numPr>
        <w:numId w:val="6"/>
      </w:numPr>
    </w:pPr>
    <w:rPr>
      <w:rFonts w:ascii="Arial" w:hAnsi="Arial"/>
      <w:color w:val="626463"/>
    </w:rPr>
  </w:style>
  <w:style w:type="paragraph" w:customStyle="1" w:styleId="05TableSubhead">
    <w:name w:val="05_Table_Subhead"/>
    <w:basedOn w:val="Normal"/>
    <w:rsid w:val="00D52B5E"/>
    <w:pPr>
      <w:shd w:val="clear" w:color="auto" w:fill="DDF2FF"/>
    </w:pPr>
    <w:rPr>
      <w:rFonts w:ascii="Arial" w:hAnsi="Arial"/>
      <w:color w:val="006287"/>
      <w:shd w:val="clear" w:color="auto" w:fill="E1F4FF"/>
    </w:rPr>
  </w:style>
  <w:style w:type="paragraph" w:customStyle="1" w:styleId="05-TableSubheadBlack">
    <w:name w:val="05-Table_Subhead_Black"/>
    <w:basedOn w:val="Heading2"/>
    <w:autoRedefine/>
    <w:rsid w:val="00D52B5E"/>
    <w:rPr>
      <w:bCs/>
      <w:color w:val="000000"/>
    </w:rPr>
  </w:style>
  <w:style w:type="paragraph" w:customStyle="1" w:styleId="05TableBody">
    <w:name w:val="05_Table_Body"/>
    <w:basedOn w:val="Normal"/>
    <w:autoRedefine/>
    <w:rsid w:val="00D52B5E"/>
    <w:rPr>
      <w:rFonts w:ascii="Arial" w:hAnsi="Arial"/>
      <w:color w:val="626463"/>
    </w:rPr>
  </w:style>
  <w:style w:type="paragraph" w:customStyle="1" w:styleId="05TableSubCheckBoxes">
    <w:name w:val="05_Table_SubCheckBoxes"/>
    <w:basedOn w:val="05TableCheckBox"/>
    <w:rsid w:val="00D52B5E"/>
    <w:pPr>
      <w:tabs>
        <w:tab w:val="clear" w:pos="360"/>
        <w:tab w:val="num" w:pos="612"/>
      </w:tabs>
      <w:ind w:left="612" w:hanging="270"/>
    </w:pPr>
  </w:style>
  <w:style w:type="paragraph" w:customStyle="1" w:styleId="05TableArialBlue">
    <w:name w:val="05_Table_Arial Blue"/>
    <w:basedOn w:val="Normal"/>
    <w:autoRedefine/>
    <w:rsid w:val="00D52B5E"/>
    <w:pPr>
      <w:jc w:val="center"/>
    </w:pPr>
    <w:rPr>
      <w:rFonts w:ascii="Arial" w:hAnsi="Arial"/>
      <w:color w:val="006287"/>
    </w:rPr>
  </w:style>
  <w:style w:type="paragraph" w:customStyle="1" w:styleId="04BodyCopyCheckbox">
    <w:name w:val="04_BodyCopyCheckbox"/>
    <w:basedOn w:val="04BodyCopy"/>
    <w:rsid w:val="00D52B5E"/>
    <w:pPr>
      <w:numPr>
        <w:numId w:val="17"/>
      </w:numPr>
    </w:pPr>
  </w:style>
  <w:style w:type="paragraph" w:customStyle="1" w:styleId="04BdyCopyBulletindent">
    <w:name w:val="04_BdyCopy_Bullet_indent"/>
    <w:basedOn w:val="04BodyCopyCheckbox"/>
    <w:autoRedefine/>
    <w:rsid w:val="00D52B5E"/>
    <w:pPr>
      <w:numPr>
        <w:ilvl w:val="1"/>
        <w:numId w:val="14"/>
      </w:numPr>
      <w:tabs>
        <w:tab w:val="clear" w:pos="2880"/>
        <w:tab w:val="num" w:pos="2520"/>
      </w:tabs>
      <w:ind w:left="2520" w:hanging="180"/>
    </w:pPr>
  </w:style>
  <w:style w:type="paragraph" w:customStyle="1" w:styleId="HeadingMain">
    <w:name w:val="Heading Main"/>
    <w:rsid w:val="00D52B5E"/>
    <w:pPr>
      <w:ind w:left="1440" w:right="1440"/>
    </w:pPr>
    <w:rPr>
      <w:b/>
      <w:color w:val="006287"/>
      <w:szCs w:val="28"/>
    </w:rPr>
  </w:style>
  <w:style w:type="paragraph" w:customStyle="1" w:styleId="BodyCopy">
    <w:name w:val="Body Copy"/>
    <w:basedOn w:val="Normal"/>
    <w:autoRedefine/>
    <w:rsid w:val="00D52B5E"/>
    <w:pPr>
      <w:ind w:left="1440" w:right="720"/>
    </w:pPr>
    <w:rPr>
      <w:rFonts w:ascii="Arial" w:hAnsi="Arial"/>
      <w:color w:val="4F5151"/>
    </w:rPr>
  </w:style>
  <w:style w:type="paragraph" w:styleId="BodyText">
    <w:name w:val="Body Text"/>
    <w:basedOn w:val="Normal"/>
    <w:rsid w:val="00D52B5E"/>
    <w:pPr>
      <w:spacing w:after="120"/>
    </w:pPr>
    <w:rPr>
      <w:color w:val="auto"/>
      <w:sz w:val="24"/>
    </w:rPr>
  </w:style>
  <w:style w:type="paragraph" w:styleId="BodyText2">
    <w:name w:val="Body Text 2"/>
    <w:basedOn w:val="Normal"/>
    <w:rsid w:val="00D52B5E"/>
    <w:rPr>
      <w:rFonts w:ascii="Garamond" w:hAnsi="Garamond"/>
      <w:color w:val="auto"/>
      <w:szCs w:val="20"/>
    </w:rPr>
  </w:style>
  <w:style w:type="paragraph" w:customStyle="1" w:styleId="CheckBoxinTable">
    <w:name w:val="CheckBox_in_Table"/>
    <w:basedOn w:val="Normal"/>
    <w:autoRedefine/>
    <w:rsid w:val="00D52B5E"/>
    <w:pPr>
      <w:tabs>
        <w:tab w:val="num" w:pos="360"/>
      </w:tabs>
      <w:ind w:left="360" w:hanging="360"/>
    </w:pPr>
    <w:rPr>
      <w:rFonts w:ascii="Arial" w:hAnsi="Arial"/>
      <w:color w:val="626463"/>
    </w:rPr>
  </w:style>
  <w:style w:type="paragraph" w:customStyle="1" w:styleId="HyperlinkNotItalic">
    <w:name w:val="Hyperlink_NotItalic"/>
    <w:basedOn w:val="05TableBody"/>
    <w:rsid w:val="00D52B5E"/>
    <w:rPr>
      <w:color w:val="006287"/>
      <w:u w:val="single"/>
    </w:rPr>
  </w:style>
  <w:style w:type="paragraph" w:customStyle="1" w:styleId="Note">
    <w:name w:val="Note"/>
    <w:basedOn w:val="04BodyCopy"/>
    <w:rsid w:val="00D52B5E"/>
    <w:rPr>
      <w:color w:val="006287"/>
    </w:rPr>
  </w:style>
  <w:style w:type="paragraph" w:customStyle="1" w:styleId="BodySquareBullets">
    <w:name w:val="Body_Square_Bullets"/>
    <w:basedOn w:val="Normal"/>
    <w:rsid w:val="00D52B5E"/>
    <w:pPr>
      <w:numPr>
        <w:numId w:val="39"/>
      </w:numPr>
    </w:pPr>
    <w:rPr>
      <w:color w:val="626463"/>
    </w:rPr>
  </w:style>
  <w:style w:type="paragraph" w:customStyle="1" w:styleId="04BodyTripleCheckbox">
    <w:name w:val="04_Body_TripleCheckbox"/>
    <w:basedOn w:val="BodySquareBullets"/>
    <w:rsid w:val="00D52B5E"/>
    <w:pPr>
      <w:numPr>
        <w:numId w:val="0"/>
      </w:numPr>
      <w:ind w:left="2250" w:hanging="1062"/>
    </w:pPr>
    <w:rPr>
      <w:rFonts w:ascii="Arial" w:hAnsi="Arial"/>
    </w:rPr>
  </w:style>
  <w:style w:type="paragraph" w:customStyle="1" w:styleId="04BodyBold">
    <w:name w:val="04_BodyBold"/>
    <w:rsid w:val="00D52B5E"/>
    <w:pPr>
      <w:ind w:left="1440"/>
    </w:pPr>
    <w:rPr>
      <w:rFonts w:ascii="Arial" w:hAnsi="Arial"/>
      <w:b/>
      <w:color w:val="4F5151"/>
      <w:szCs w:val="24"/>
    </w:rPr>
  </w:style>
  <w:style w:type="paragraph" w:styleId="BalloonText">
    <w:name w:val="Balloon Text"/>
    <w:basedOn w:val="Normal"/>
    <w:semiHidden/>
    <w:rsid w:val="008D3230"/>
    <w:rPr>
      <w:rFonts w:ascii="Tahoma" w:hAnsi="Tahoma" w:cs="Tahoma"/>
      <w:sz w:val="16"/>
      <w:szCs w:val="16"/>
    </w:rPr>
  </w:style>
  <w:style w:type="paragraph" w:styleId="Title">
    <w:name w:val="Title"/>
    <w:basedOn w:val="Normal"/>
    <w:qFormat/>
    <w:rsid w:val="000B5A6F"/>
    <w:rPr>
      <w:rFonts w:ascii="Arial" w:eastAsia="MS Song" w:hAnsi="Arial" w:cs="Arial"/>
      <w:i/>
      <w:iCs/>
      <w:color w:val="auto"/>
      <w:szCs w:val="20"/>
    </w:rPr>
  </w:style>
  <w:style w:type="character" w:styleId="FollowedHyperlink">
    <w:name w:val="FollowedHyperlink"/>
    <w:rsid w:val="00D365B1"/>
    <w:rPr>
      <w:color w:val="800080"/>
      <w:u w:val="single"/>
    </w:rPr>
  </w:style>
  <w:style w:type="character" w:customStyle="1" w:styleId="FooterChar">
    <w:name w:val="Footer Char"/>
    <w:link w:val="Footer"/>
    <w:uiPriority w:val="99"/>
    <w:rsid w:val="00640225"/>
    <w:rPr>
      <w:color w:val="333333"/>
      <w:szCs w:val="24"/>
    </w:rPr>
  </w:style>
  <w:style w:type="paragraph" w:styleId="ListParagraph">
    <w:name w:val="List Paragraph"/>
    <w:basedOn w:val="Normal"/>
    <w:uiPriority w:val="34"/>
    <w:qFormat/>
    <w:rsid w:val="00380B80"/>
    <w:pPr>
      <w:ind w:left="720"/>
      <w:contextualSpacing/>
    </w:pPr>
    <w:rPr>
      <w:color w:val="auto"/>
      <w:sz w:val="24"/>
    </w:rPr>
  </w:style>
  <w:style w:type="character" w:customStyle="1" w:styleId="boxrollp1">
    <w:name w:val="boxroll_p1"/>
    <w:rsid w:val="003453BA"/>
    <w:rPr>
      <w:vanish w:val="0"/>
      <w:webHidden w:val="0"/>
      <w:color w:val="666666"/>
      <w:sz w:val="16"/>
      <w:szCs w:val="16"/>
      <w:specVanish w:val="0"/>
    </w:rPr>
  </w:style>
  <w:style w:type="character" w:styleId="CommentReference">
    <w:name w:val="annotation reference"/>
    <w:rsid w:val="00BF50A9"/>
    <w:rPr>
      <w:sz w:val="16"/>
      <w:szCs w:val="16"/>
    </w:rPr>
  </w:style>
  <w:style w:type="paragraph" w:styleId="CommentText">
    <w:name w:val="annotation text"/>
    <w:basedOn w:val="Normal"/>
    <w:link w:val="CommentTextChar"/>
    <w:rsid w:val="00BF50A9"/>
    <w:rPr>
      <w:szCs w:val="20"/>
    </w:rPr>
  </w:style>
  <w:style w:type="character" w:customStyle="1" w:styleId="CommentTextChar">
    <w:name w:val="Comment Text Char"/>
    <w:link w:val="CommentText"/>
    <w:rsid w:val="00BF50A9"/>
    <w:rPr>
      <w:color w:val="333333"/>
    </w:rPr>
  </w:style>
  <w:style w:type="paragraph" w:styleId="CommentSubject">
    <w:name w:val="annotation subject"/>
    <w:basedOn w:val="CommentText"/>
    <w:next w:val="CommentText"/>
    <w:link w:val="CommentSubjectChar"/>
    <w:rsid w:val="00BF50A9"/>
    <w:rPr>
      <w:b/>
      <w:bCs/>
    </w:rPr>
  </w:style>
  <w:style w:type="character" w:customStyle="1" w:styleId="CommentSubjectChar">
    <w:name w:val="Comment Subject Char"/>
    <w:link w:val="CommentSubject"/>
    <w:rsid w:val="00BF50A9"/>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loans.gov/myDirectLoan/index.ac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cfr.gov/cgi-bin/text-idx?SID=52d6c09d0b70e513e630477856c3c95b&amp;mc=true&amp;node=se34.3.668_1217&amp;rgn=div8" TargetMode="External"/><Relationship Id="rId17" Type="http://schemas.openxmlformats.org/officeDocument/2006/relationships/hyperlink" Target="https://nsldsfap.ed.gov/nslds_FAP/" TargetMode="External"/><Relationship Id="rId2" Type="http://schemas.openxmlformats.org/officeDocument/2006/relationships/customXml" Target="../customXml/item2.xml"/><Relationship Id="rId16" Type="http://schemas.openxmlformats.org/officeDocument/2006/relationships/hyperlink" Target="https://www.ecfr.gov/cgi-bin/text-idx?SID=c38fbe515930a9c695ec49d2922cea66&amp;mc=true&amp;node=se34.4.685_1309&amp;rgn=div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52d6c09d0b70e513e630477856c3c95b&amp;mc=true&amp;node=ap34.3.668_1217.a&amp;rgn=div9" TargetMode="External"/><Relationship Id="rId5" Type="http://schemas.openxmlformats.org/officeDocument/2006/relationships/styles" Target="styles.xml"/><Relationship Id="rId15" Type="http://schemas.openxmlformats.org/officeDocument/2006/relationships/hyperlink" Target="https://financialaidtoolkit.ed.gov/resources/loan-repayment-social-media-resources.doc" TargetMode="External"/><Relationship Id="rId10" Type="http://schemas.openxmlformats.org/officeDocument/2006/relationships/hyperlink" Target="https://www.ecfr.gov/cgi-bin/text-idx?SID=52d6c09d0b70e513e630477856c3c95b&amp;mc=true&amp;node=se34.3.668_114&amp;rgn=div8"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slds.ed.gov/nslds_SA/SaEcWelcome.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2D7B2-8006-4B7B-8294-2648FAD5F95A}"/>
</file>

<file path=customXml/itemProps2.xml><?xml version="1.0" encoding="utf-8"?>
<ds:datastoreItem xmlns:ds="http://schemas.openxmlformats.org/officeDocument/2006/customXml" ds:itemID="{D762EA2D-3A30-4B7C-8E3B-74128A5C498D}">
  <ds:schemaRefs>
    <ds:schemaRef ds:uri="http://schemas.microsoft.com/sharepoint/v3/contenttype/forms"/>
  </ds:schemaRefs>
</ds:datastoreItem>
</file>

<file path=customXml/itemProps3.xml><?xml version="1.0" encoding="utf-8"?>
<ds:datastoreItem xmlns:ds="http://schemas.openxmlformats.org/officeDocument/2006/customXml" ds:itemID="{074C1DE1-DC1F-44F9-B734-FE18C56150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6007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Navigating the ISIR Analysis Tool</vt:lpstr>
    </vt:vector>
  </TitlesOfParts>
  <Company>U.S. Department of Education</Company>
  <LinksUpToDate>false</LinksUpToDate>
  <CharactersWithSpaces>6930</CharactersWithSpaces>
  <SharedDoc>false</SharedDoc>
  <HLinks>
    <vt:vector size="48" baseType="variant">
      <vt:variant>
        <vt:i4>1900652</vt:i4>
      </vt:variant>
      <vt:variant>
        <vt:i4>21</vt:i4>
      </vt:variant>
      <vt:variant>
        <vt:i4>0</vt:i4>
      </vt:variant>
      <vt:variant>
        <vt:i4>5</vt:i4>
      </vt:variant>
      <vt:variant>
        <vt:lpwstr>https://nsldsfap.ed.gov/nslds_FAP/</vt:lpwstr>
      </vt:variant>
      <vt:variant>
        <vt:lpwstr/>
      </vt:variant>
      <vt:variant>
        <vt:i4>393249</vt:i4>
      </vt:variant>
      <vt:variant>
        <vt:i4>18</vt:i4>
      </vt:variant>
      <vt:variant>
        <vt:i4>0</vt:i4>
      </vt:variant>
      <vt:variant>
        <vt:i4>5</vt:i4>
      </vt:variant>
      <vt:variant>
        <vt:lpwstr>https://www.ecfr.gov/cgi-bin/text-idx?SID=c38fbe515930a9c695ec49d2922cea66&amp;mc=true&amp;node=se34.4.685_1309&amp;rgn=div8</vt:lpwstr>
      </vt:variant>
      <vt:variant>
        <vt:lpwstr/>
      </vt:variant>
      <vt:variant>
        <vt:i4>2097213</vt:i4>
      </vt:variant>
      <vt:variant>
        <vt:i4>15</vt:i4>
      </vt:variant>
      <vt:variant>
        <vt:i4>0</vt:i4>
      </vt:variant>
      <vt:variant>
        <vt:i4>5</vt:i4>
      </vt:variant>
      <vt:variant>
        <vt:lpwstr>https://financialaidtoolkit.ed.gov/resources/loan-repayment-social-media-resources.doc</vt:lpwstr>
      </vt:variant>
      <vt:variant>
        <vt:lpwstr/>
      </vt:variant>
      <vt:variant>
        <vt:i4>5767280</vt:i4>
      </vt:variant>
      <vt:variant>
        <vt:i4>12</vt:i4>
      </vt:variant>
      <vt:variant>
        <vt:i4>0</vt:i4>
      </vt:variant>
      <vt:variant>
        <vt:i4>5</vt:i4>
      </vt:variant>
      <vt:variant>
        <vt:lpwstr>https://nslds.ed.gov/nslds_SA/SaEcWelcome.do</vt:lpwstr>
      </vt:variant>
      <vt:variant>
        <vt:lpwstr/>
      </vt:variant>
      <vt:variant>
        <vt:i4>8060983</vt:i4>
      </vt:variant>
      <vt:variant>
        <vt:i4>9</vt:i4>
      </vt:variant>
      <vt:variant>
        <vt:i4>0</vt:i4>
      </vt:variant>
      <vt:variant>
        <vt:i4>5</vt:i4>
      </vt:variant>
      <vt:variant>
        <vt:lpwstr>https://studentloans.gov/myDirectLoan/index.action</vt:lpwstr>
      </vt:variant>
      <vt:variant>
        <vt:lpwstr/>
      </vt:variant>
      <vt:variant>
        <vt:i4>131185</vt:i4>
      </vt:variant>
      <vt:variant>
        <vt:i4>6</vt:i4>
      </vt:variant>
      <vt:variant>
        <vt:i4>0</vt:i4>
      </vt:variant>
      <vt:variant>
        <vt:i4>5</vt:i4>
      </vt:variant>
      <vt:variant>
        <vt:lpwstr>https://www.ecfr.gov/cgi-bin/text-idx?SID=52d6c09d0b70e513e630477856c3c95b&amp;mc=true&amp;node=se34.3.668_1217&amp;rgn=div8</vt:lpwstr>
      </vt:variant>
      <vt:variant>
        <vt:lpwstr/>
      </vt:variant>
      <vt:variant>
        <vt:i4>3670018</vt:i4>
      </vt:variant>
      <vt:variant>
        <vt:i4>3</vt:i4>
      </vt:variant>
      <vt:variant>
        <vt:i4>0</vt:i4>
      </vt:variant>
      <vt:variant>
        <vt:i4>5</vt:i4>
      </vt:variant>
      <vt:variant>
        <vt:lpwstr>https://www.ecfr.gov/cgi-bin/text-idx?SID=52d6c09d0b70e513e630477856c3c95b&amp;mc=true&amp;node=ap34.3.668_1217.a&amp;rgn=div9</vt:lpwstr>
      </vt:variant>
      <vt:variant>
        <vt:lpwstr/>
      </vt:variant>
      <vt:variant>
        <vt:i4>2359390</vt:i4>
      </vt:variant>
      <vt:variant>
        <vt:i4>0</vt:i4>
      </vt:variant>
      <vt:variant>
        <vt:i4>0</vt:i4>
      </vt:variant>
      <vt:variant>
        <vt:i4>5</vt:i4>
      </vt:variant>
      <vt:variant>
        <vt:lpwstr>https://www.ecfr.gov/cgi-bin/text-idx?SID=52d6c09d0b70e513e630477856c3c95b&amp;mc=true&amp;node=se34.3.668_114&amp;rgn=div8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ISIR Analysis Tool</dc:title>
  <dc:subject/>
  <dc:creator>Clugston Courtney</dc:creator>
  <cp:keywords/>
  <cp:lastModifiedBy>Cagle, Michael</cp:lastModifiedBy>
  <cp:revision>2</cp:revision>
  <cp:lastPrinted>2011-04-19T10:48:00Z</cp:lastPrinted>
  <dcterms:created xsi:type="dcterms:W3CDTF">2020-12-11T01:36:00Z</dcterms:created>
  <dcterms:modified xsi:type="dcterms:W3CDTF">2020-12-11T01:36:00Z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