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C62D8" w14:textId="53A942D8" w:rsidR="00021DE6" w:rsidRPr="00504473" w:rsidRDefault="00021DE6" w:rsidP="000405CD">
      <w:pPr>
        <w:jc w:val="center"/>
        <w:rPr>
          <w:b/>
        </w:rPr>
      </w:pPr>
      <w:bookmarkStart w:id="0" w:name="_GoBack"/>
      <w:bookmarkEnd w:id="0"/>
      <w:r w:rsidRPr="00504473">
        <w:rPr>
          <w:b/>
        </w:rPr>
        <w:t>Compliance with the 2016 Borrower Defense to Repayment Regulations Questions and Answers</w:t>
      </w:r>
    </w:p>
    <w:p w14:paraId="5634D6D4" w14:textId="290613DA" w:rsidR="005B6DA8" w:rsidRDefault="005B6DA8" w:rsidP="005B6DA8">
      <w:r>
        <w:t xml:space="preserve">The </w:t>
      </w:r>
      <w:r w:rsidR="00EA356F">
        <w:t>questions and answers</w:t>
      </w:r>
      <w:r w:rsidR="003C7487">
        <w:t xml:space="preserve"> </w:t>
      </w:r>
      <w:r>
        <w:t xml:space="preserve">below </w:t>
      </w:r>
      <w:r w:rsidR="00EA356F">
        <w:t xml:space="preserve">relate to the </w:t>
      </w:r>
      <w:hyperlink r:id="rId8" w:history="1">
        <w:r w:rsidR="00EA356F" w:rsidRPr="00791F1D">
          <w:rPr>
            <w:rStyle w:val="Hyperlink"/>
          </w:rPr>
          <w:t>final regulations</w:t>
        </w:r>
      </w:hyperlink>
      <w:r w:rsidR="00EA356F" w:rsidRPr="00CC7C50">
        <w:t xml:space="preserve"> </w:t>
      </w:r>
      <w:r w:rsidR="00EA356F">
        <w:t>(the “2016 borrower defense to repayment regulations</w:t>
      </w:r>
      <w:r w:rsidR="004E0C60">
        <w:t>”</w:t>
      </w:r>
      <w:r w:rsidR="00EA356F">
        <w:t xml:space="preserve">) published </w:t>
      </w:r>
      <w:r w:rsidR="00826966">
        <w:t xml:space="preserve">by the Department </w:t>
      </w:r>
      <w:r w:rsidR="00EA356F" w:rsidRPr="00CC7C50">
        <w:t xml:space="preserve">in the </w:t>
      </w:r>
      <w:r w:rsidR="00EA356F" w:rsidRPr="00330734">
        <w:rPr>
          <w:bCs/>
          <w:i/>
        </w:rPr>
        <w:t>Federal Register</w:t>
      </w:r>
      <w:r w:rsidR="00EA356F">
        <w:t xml:space="preserve"> on November 1, 2016</w:t>
      </w:r>
      <w:r w:rsidR="004E0C60">
        <w:t>,</w:t>
      </w:r>
      <w:r w:rsidR="00EA356F">
        <w:t xml:space="preserve"> concerning borrower defense to repayment and other related matters.  </w:t>
      </w:r>
      <w:r w:rsidR="004E0C60">
        <w:t xml:space="preserve">81 Fed. Reg. 75,926.  </w:t>
      </w:r>
      <w:r w:rsidR="00EA356F">
        <w:t xml:space="preserve">This information supplements the </w:t>
      </w:r>
      <w:hyperlink r:id="rId9" w:history="1">
        <w:r w:rsidR="00EA356F" w:rsidRPr="004E0C60">
          <w:rPr>
            <w:rStyle w:val="Hyperlink"/>
          </w:rPr>
          <w:t>electronic announcement</w:t>
        </w:r>
      </w:hyperlink>
      <w:r w:rsidR="00EA356F">
        <w:t xml:space="preserve"> issued on </w:t>
      </w:r>
      <w:r w:rsidR="00EA356F" w:rsidRPr="00EA356F">
        <w:t xml:space="preserve">March 15, 2019, with the subject </w:t>
      </w:r>
      <w:r w:rsidR="00826966">
        <w:t xml:space="preserve">heading </w:t>
      </w:r>
      <w:r w:rsidR="00EA356F" w:rsidRPr="00EA356F">
        <w:t>“Guidance Concerning Some Provisions of the 2016 Borrower Defense to Repayment Regulations</w:t>
      </w:r>
      <w:r w:rsidR="00EA356F">
        <w:t xml:space="preserve">” and the </w:t>
      </w:r>
      <w:hyperlink r:id="rId10" w:history="1">
        <w:r w:rsidR="00EA356F" w:rsidRPr="004E0C60">
          <w:rPr>
            <w:rStyle w:val="Hyperlink"/>
          </w:rPr>
          <w:t>electronic announcement</w:t>
        </w:r>
      </w:hyperlink>
      <w:r w:rsidR="00EA356F">
        <w:t xml:space="preserve"> issued on May 20, 2019, with the subject</w:t>
      </w:r>
      <w:r w:rsidR="00826966">
        <w:t xml:space="preserve"> heading</w:t>
      </w:r>
      <w:r w:rsidR="00EA356F">
        <w:t>, “</w:t>
      </w:r>
      <w:r w:rsidR="00EA356F" w:rsidRPr="00EA356F">
        <w:t>Questions Regarding the Financial Responsibility Provisions of the 2016 Borrower Defense Regulations</w:t>
      </w:r>
      <w:r w:rsidR="00EA356F">
        <w:t xml:space="preserve">.”  This information </w:t>
      </w:r>
      <w:r>
        <w:t xml:space="preserve">supersedes any previous </w:t>
      </w:r>
      <w:r w:rsidR="003C7487">
        <w:t xml:space="preserve">information </w:t>
      </w:r>
      <w:r>
        <w:t>that may have been provided on the issues below.</w:t>
      </w:r>
    </w:p>
    <w:p w14:paraId="716E81B6" w14:textId="66F4D386" w:rsidR="00985058" w:rsidRPr="00C31F99" w:rsidRDefault="00985058" w:rsidP="00985058">
      <w:pPr>
        <w:spacing w:after="0" w:line="240" w:lineRule="auto"/>
        <w:rPr>
          <w:rFonts w:cstheme="minorHAnsi"/>
        </w:rPr>
      </w:pPr>
      <w:r>
        <w:rPr>
          <w:rFonts w:cstheme="minorHAnsi"/>
        </w:rPr>
        <w:t>Institutions are expected to submit any necessary supplemental reporting as a result of any information included in th</w:t>
      </w:r>
      <w:r w:rsidR="00826966">
        <w:rPr>
          <w:rFonts w:cstheme="minorHAnsi"/>
        </w:rPr>
        <w:t>is</w:t>
      </w:r>
      <w:r>
        <w:rPr>
          <w:rFonts w:cstheme="minorHAnsi"/>
        </w:rPr>
        <w:t xml:space="preserve"> Q&amp;A document within 10 calendar days </w:t>
      </w:r>
      <w:r w:rsidR="00826966">
        <w:rPr>
          <w:rFonts w:cstheme="minorHAnsi"/>
        </w:rPr>
        <w:t xml:space="preserve">of the date </w:t>
      </w:r>
      <w:r>
        <w:rPr>
          <w:rFonts w:cstheme="minorHAnsi"/>
        </w:rPr>
        <w:t>that the information was posted.</w:t>
      </w:r>
    </w:p>
    <w:p w14:paraId="1012B16C" w14:textId="27DD26B8" w:rsidR="00EA356F" w:rsidRDefault="00EA356F" w:rsidP="005B6DA8">
      <w:r>
        <w:t>The Department anticipates updating these questions and answers on an ongoing basis.</w:t>
      </w:r>
    </w:p>
    <w:p w14:paraId="6A232999" w14:textId="77777777" w:rsidR="00A97BA4" w:rsidRDefault="00A97BA4" w:rsidP="005B6DA8"/>
    <w:p w14:paraId="28426562" w14:textId="57CD0C0A" w:rsidR="00021DE6" w:rsidRPr="00B24731" w:rsidRDefault="00021DE6" w:rsidP="00021DE6">
      <w:pPr>
        <w:rPr>
          <w:u w:val="single"/>
        </w:rPr>
      </w:pPr>
      <w:r w:rsidRPr="00B24731">
        <w:rPr>
          <w:u w:val="single"/>
        </w:rPr>
        <w:t>New Financial Responsibility Triggers and Reporting, 34 C.F.R. § 6</w:t>
      </w:r>
      <w:r w:rsidR="006E188B" w:rsidRPr="00B24731">
        <w:rPr>
          <w:u w:val="single"/>
        </w:rPr>
        <w:t>68</w:t>
      </w:r>
      <w:r w:rsidRPr="00B24731">
        <w:rPr>
          <w:u w:val="single"/>
        </w:rPr>
        <w:t>.171</w:t>
      </w:r>
    </w:p>
    <w:p w14:paraId="44B25FDB" w14:textId="3F76B285" w:rsidR="00021DE6" w:rsidRPr="00504473" w:rsidRDefault="00021DE6" w:rsidP="00504473">
      <w:pPr>
        <w:pStyle w:val="ListParagraph"/>
        <w:numPr>
          <w:ilvl w:val="0"/>
          <w:numId w:val="1"/>
        </w:numPr>
        <w:rPr>
          <w:i/>
        </w:rPr>
      </w:pPr>
      <w:r w:rsidRPr="00504473">
        <w:rPr>
          <w:i/>
        </w:rPr>
        <w:t>Public Institutions and Reporting</w:t>
      </w:r>
    </w:p>
    <w:p w14:paraId="47AB7587" w14:textId="7C8F3ED4" w:rsidR="006E188B" w:rsidRPr="00DE2186" w:rsidRDefault="006E188B" w:rsidP="00021DE6">
      <w:pPr>
        <w:rPr>
          <w:b/>
        </w:rPr>
      </w:pPr>
      <w:r w:rsidRPr="00DE2186">
        <w:rPr>
          <w:b/>
        </w:rPr>
        <w:t>Q1:  Do the reporting requirements in 34 C.F.R. § 668.171(h) apply to public institutions?</w:t>
      </w:r>
    </w:p>
    <w:p w14:paraId="20F3A212" w14:textId="5963ACD2" w:rsidR="006E188B" w:rsidRDefault="006E188B" w:rsidP="00021DE6">
      <w:r w:rsidRPr="00DE2186">
        <w:rPr>
          <w:b/>
        </w:rPr>
        <w:t>A1:</w:t>
      </w:r>
      <w:r>
        <w:t xml:space="preserve">  Yes, the reporting requirements </w:t>
      </w:r>
      <w:r w:rsidR="004A073C">
        <w:t xml:space="preserve">in the </w:t>
      </w:r>
      <w:r w:rsidR="00EA356F">
        <w:t xml:space="preserve">2016 borrower defense to repayment regulations </w:t>
      </w:r>
      <w:r>
        <w:t xml:space="preserve">apply to public institutions, with certain exceptions.  Although </w:t>
      </w:r>
      <w:r w:rsidR="00365CCD">
        <w:t xml:space="preserve">public </w:t>
      </w:r>
      <w:r>
        <w:t xml:space="preserve">institutions of higher education are considered </w:t>
      </w:r>
      <w:r w:rsidR="00365CCD">
        <w:t xml:space="preserve">to be </w:t>
      </w:r>
      <w:r>
        <w:t>financially responsible under 34 C.F.R. § 668.171(</w:t>
      </w:r>
      <w:proofErr w:type="spellStart"/>
      <w:r w:rsidR="008B3EAA">
        <w:t>i</w:t>
      </w:r>
      <w:proofErr w:type="spellEnd"/>
      <w:r>
        <w:t>), the reporting requirements in 34 C.F.R. § 668.171(h) do not distinguish between institutions</w:t>
      </w:r>
      <w:r w:rsidR="00E81A91">
        <w:t xml:space="preserve"> based on their public or</w:t>
      </w:r>
      <w:r>
        <w:t xml:space="preserve"> private </w:t>
      </w:r>
      <w:r w:rsidR="00E81A91">
        <w:t>nature or their tax status</w:t>
      </w:r>
      <w:r w:rsidR="004E0C60">
        <w:t>,</w:t>
      </w:r>
      <w:r w:rsidR="00AD39FD">
        <w:t xml:space="preserve"> and </w:t>
      </w:r>
      <w:r w:rsidR="004E0C60">
        <w:t xml:space="preserve">they </w:t>
      </w:r>
      <w:r w:rsidR="00985058">
        <w:t xml:space="preserve">exist independently of any determination of whether the reported actions or events are failures of financial responsibility under 34 C.F.R. § 668.171.  </w:t>
      </w:r>
      <w:r w:rsidR="004A073C">
        <w:t>As a result, the reporting requirements</w:t>
      </w:r>
      <w:r w:rsidR="00A518E1">
        <w:t xml:space="preserve"> apply to </w:t>
      </w:r>
      <w:r>
        <w:t>all schools participating in the Title IV, HEA programs.</w:t>
      </w:r>
    </w:p>
    <w:p w14:paraId="5918F8A1" w14:textId="5FE9D8C4" w:rsidR="006E188B" w:rsidRDefault="00365CCD" w:rsidP="00021DE6">
      <w:r>
        <w:t>S</w:t>
      </w:r>
      <w:r w:rsidR="003E5041">
        <w:t>ome of the events, conditions, or situations described in t</w:t>
      </w:r>
      <w:r w:rsidR="006E188B">
        <w:t xml:space="preserve">he financial responsibility standards (or “triggers”) added by the 2016 borrower defense </w:t>
      </w:r>
      <w:r w:rsidR="003E5041">
        <w:t xml:space="preserve">to repayment regulations </w:t>
      </w:r>
      <w:r>
        <w:t xml:space="preserve">describe trigger events that </w:t>
      </w:r>
      <w:r w:rsidR="00E75503">
        <w:t>are not relevant</w:t>
      </w:r>
      <w:r w:rsidR="003E5041">
        <w:t xml:space="preserve"> to </w:t>
      </w:r>
      <w:r w:rsidR="002F66D3">
        <w:t xml:space="preserve">some </w:t>
      </w:r>
      <w:r w:rsidR="003E5041">
        <w:t>institutions.  Such events, conditions, or situations include</w:t>
      </w:r>
      <w:r w:rsidR="00CB7E8A">
        <w:t xml:space="preserve"> the withdrawal of owner</w:t>
      </w:r>
      <w:r w:rsidR="003D699D">
        <w:t>’</w:t>
      </w:r>
      <w:r w:rsidR="00CB7E8A">
        <w:t>s equity, 34 C.F.R. § 668.171</w:t>
      </w:r>
      <w:r w:rsidR="003D699D">
        <w:t>(c)(1)</w:t>
      </w:r>
      <w:r w:rsidR="00CB7E8A">
        <w:t>(v)</w:t>
      </w:r>
      <w:r w:rsidR="003D699D">
        <w:t xml:space="preserve">, and stock exchange or U.S. Securities Exchange Commission (SEC) actions for publicly traded institutions, 34 C.F.R. § 668.171(e).  </w:t>
      </w:r>
      <w:r w:rsidR="0084760F">
        <w:t>As a result, institutions</w:t>
      </w:r>
      <w:r w:rsidR="00985058">
        <w:t xml:space="preserve"> that are not subject to such triggers</w:t>
      </w:r>
      <w:r w:rsidR="00E81A91">
        <w:t xml:space="preserve"> </w:t>
      </w:r>
      <w:r w:rsidR="00E75503">
        <w:t>are</w:t>
      </w:r>
      <w:r w:rsidR="0084760F">
        <w:t xml:space="preserve"> not required to report those events </w:t>
      </w:r>
      <w:r w:rsidR="00320204">
        <w:t xml:space="preserve">unless the event occurs with a related party that is included in the public institution’s annual audit submission to the Department pursuant to 34 C.F.R. § 668.23(d).  </w:t>
      </w:r>
    </w:p>
    <w:p w14:paraId="70F4AF85" w14:textId="6B650045" w:rsidR="003D699D" w:rsidRDefault="003E02F5" w:rsidP="00021DE6">
      <w:r>
        <w:t>June 3, 2019</w:t>
      </w:r>
    </w:p>
    <w:p w14:paraId="3CABB852" w14:textId="77777777" w:rsidR="00320204" w:rsidRPr="003D699D" w:rsidRDefault="00320204" w:rsidP="00021DE6"/>
    <w:p w14:paraId="342B6A77" w14:textId="0B98FB8E" w:rsidR="00021DE6" w:rsidRPr="00504473" w:rsidRDefault="00021DE6" w:rsidP="00504473">
      <w:pPr>
        <w:pStyle w:val="ListParagraph"/>
        <w:numPr>
          <w:ilvl w:val="0"/>
          <w:numId w:val="1"/>
        </w:numPr>
        <w:rPr>
          <w:i/>
        </w:rPr>
      </w:pPr>
      <w:r w:rsidRPr="00504473">
        <w:rPr>
          <w:i/>
        </w:rPr>
        <w:t>Debts and Liability Triggers</w:t>
      </w:r>
    </w:p>
    <w:p w14:paraId="5A04E0FE" w14:textId="0244D0A6" w:rsidR="00C11786" w:rsidRPr="00DE2186" w:rsidRDefault="00C11786" w:rsidP="00C11786">
      <w:pPr>
        <w:rPr>
          <w:b/>
        </w:rPr>
      </w:pPr>
      <w:r w:rsidRPr="00DE2186">
        <w:rPr>
          <w:b/>
        </w:rPr>
        <w:t xml:space="preserve">Q2: </w:t>
      </w:r>
      <w:r w:rsidR="00783146" w:rsidRPr="00DE2186">
        <w:rPr>
          <w:b/>
        </w:rPr>
        <w:t xml:space="preserve">Are institutions required to report </w:t>
      </w:r>
      <w:r w:rsidR="002F69E2" w:rsidRPr="00DE2186">
        <w:rPr>
          <w:b/>
        </w:rPr>
        <w:t>all</w:t>
      </w:r>
      <w:r w:rsidR="00783146" w:rsidRPr="00DE2186">
        <w:rPr>
          <w:b/>
        </w:rPr>
        <w:t xml:space="preserve"> </w:t>
      </w:r>
      <w:r w:rsidR="004371B5" w:rsidRPr="00DE2186">
        <w:rPr>
          <w:b/>
        </w:rPr>
        <w:t>debt</w:t>
      </w:r>
      <w:r w:rsidR="002F69E2" w:rsidRPr="00DE2186">
        <w:rPr>
          <w:b/>
        </w:rPr>
        <w:t>s</w:t>
      </w:r>
      <w:r w:rsidR="004371B5" w:rsidRPr="00DE2186">
        <w:rPr>
          <w:b/>
        </w:rPr>
        <w:t xml:space="preserve"> </w:t>
      </w:r>
      <w:r w:rsidR="002F69E2" w:rsidRPr="00DE2186">
        <w:rPr>
          <w:b/>
        </w:rPr>
        <w:t>and</w:t>
      </w:r>
      <w:r w:rsidR="004371B5" w:rsidRPr="00DE2186">
        <w:rPr>
          <w:b/>
        </w:rPr>
        <w:t xml:space="preserve"> liabilit</w:t>
      </w:r>
      <w:r w:rsidR="002F69E2" w:rsidRPr="00DE2186">
        <w:rPr>
          <w:b/>
        </w:rPr>
        <w:t>ies</w:t>
      </w:r>
      <w:r w:rsidR="000E597B" w:rsidRPr="00DE2186">
        <w:rPr>
          <w:b/>
        </w:rPr>
        <w:t xml:space="preserve"> under 34 C.F.R. § 668.171(c)(1)(</w:t>
      </w:r>
      <w:proofErr w:type="spellStart"/>
      <w:r w:rsidR="000E597B" w:rsidRPr="00DE2186">
        <w:rPr>
          <w:b/>
        </w:rPr>
        <w:t>i</w:t>
      </w:r>
      <w:proofErr w:type="spellEnd"/>
      <w:r w:rsidR="000E597B" w:rsidRPr="00DE2186">
        <w:rPr>
          <w:b/>
        </w:rPr>
        <w:t>)</w:t>
      </w:r>
      <w:r w:rsidR="00E81A91">
        <w:rPr>
          <w:b/>
        </w:rPr>
        <w:t xml:space="preserve"> &amp; (h)(1)(</w:t>
      </w:r>
      <w:proofErr w:type="spellStart"/>
      <w:r w:rsidR="00E81A91">
        <w:rPr>
          <w:b/>
        </w:rPr>
        <w:t>i</w:t>
      </w:r>
      <w:proofErr w:type="spellEnd"/>
      <w:r w:rsidR="00E81A91">
        <w:rPr>
          <w:b/>
        </w:rPr>
        <w:t>)</w:t>
      </w:r>
      <w:r w:rsidR="004371B5" w:rsidRPr="00DE2186">
        <w:rPr>
          <w:b/>
        </w:rPr>
        <w:t>, such as those arising from settlements</w:t>
      </w:r>
      <w:r w:rsidR="00466093">
        <w:rPr>
          <w:b/>
        </w:rPr>
        <w:t xml:space="preserve"> reached prior to legal action</w:t>
      </w:r>
      <w:r w:rsidR="004371B5" w:rsidRPr="00DE2186">
        <w:rPr>
          <w:b/>
        </w:rPr>
        <w:t>?</w:t>
      </w:r>
    </w:p>
    <w:p w14:paraId="49ABAC7C" w14:textId="5C437E42" w:rsidR="00C11786" w:rsidRDefault="00617BAF" w:rsidP="00021DE6">
      <w:r w:rsidRPr="00DE2186">
        <w:rPr>
          <w:b/>
        </w:rPr>
        <w:lastRenderedPageBreak/>
        <w:t>A2:</w:t>
      </w:r>
      <w:r>
        <w:t xml:space="preserve">  34 C.F.R. § 668.171</w:t>
      </w:r>
      <w:r w:rsidR="000E597B">
        <w:t>(c)(1)(</w:t>
      </w:r>
      <w:proofErr w:type="spellStart"/>
      <w:r w:rsidR="000E597B">
        <w:t>i</w:t>
      </w:r>
      <w:proofErr w:type="spellEnd"/>
      <w:r w:rsidR="000E597B">
        <w:t xml:space="preserve">) </w:t>
      </w:r>
      <w:r w:rsidR="00D1659B">
        <w:t>only applies to debts and liabilities</w:t>
      </w:r>
      <w:r w:rsidR="003C7487">
        <w:t xml:space="preserve"> “</w:t>
      </w:r>
      <w:r w:rsidR="00CE2661">
        <w:t xml:space="preserve">arising </w:t>
      </w:r>
      <w:r w:rsidR="00773AD0">
        <w:t>from a final judgment in a judicial proceeding or from an administrative proceeding or det</w:t>
      </w:r>
      <w:r w:rsidR="00CC2600">
        <w:t>ermination</w:t>
      </w:r>
      <w:r w:rsidR="003C7487">
        <w:t>, or from a settlement</w:t>
      </w:r>
      <w:r w:rsidR="00CC2600">
        <w:t xml:space="preserve">.”  </w:t>
      </w:r>
      <w:r w:rsidR="00320204">
        <w:t xml:space="preserve">Such judicial and administrative proceedings include those </w:t>
      </w:r>
      <w:r w:rsidR="005E7086" w:rsidRPr="005E7086">
        <w:t>initiated by a government entity.  A</w:t>
      </w:r>
      <w:r w:rsidR="0097006A">
        <w:t>ll</w:t>
      </w:r>
      <w:r w:rsidR="005E7086" w:rsidRPr="005E7086">
        <w:t xml:space="preserve"> settlement</w:t>
      </w:r>
      <w:r w:rsidR="0097006A">
        <w:t>s</w:t>
      </w:r>
      <w:r w:rsidR="005E7086" w:rsidRPr="005E7086">
        <w:t xml:space="preserve"> </w:t>
      </w:r>
      <w:r w:rsidR="00682F5A">
        <w:t>fall under this requirement</w:t>
      </w:r>
      <w:r w:rsidR="005E7086" w:rsidRPr="005E7086">
        <w:t>.</w:t>
      </w:r>
      <w:r w:rsidR="005E7086">
        <w:t xml:space="preserve">  </w:t>
      </w:r>
      <w:r w:rsidR="00E81A91">
        <w:t xml:space="preserve">The reporting requirement in </w:t>
      </w:r>
      <w:r w:rsidR="00E81A91" w:rsidRPr="00E81A91">
        <w:t>34 C.F.R. § 668.171(h)(1)(i)</w:t>
      </w:r>
      <w:r w:rsidR="00E81A91">
        <w:t xml:space="preserve"> follows the same principles.</w:t>
      </w:r>
    </w:p>
    <w:p w14:paraId="0E5D765C" w14:textId="43B26B61" w:rsidR="00892EA3" w:rsidRDefault="003E02F5" w:rsidP="00892EA3">
      <w:r>
        <w:t>June 3, 2019</w:t>
      </w:r>
    </w:p>
    <w:p w14:paraId="767E9C2D" w14:textId="77777777" w:rsidR="00320204" w:rsidRDefault="00320204" w:rsidP="00021DE6">
      <w:pPr>
        <w:rPr>
          <w:b/>
        </w:rPr>
      </w:pPr>
    </w:p>
    <w:p w14:paraId="1E2D84B4" w14:textId="212A8009" w:rsidR="00C11786" w:rsidRPr="00DE2186" w:rsidRDefault="003D699D" w:rsidP="00021DE6">
      <w:pPr>
        <w:rPr>
          <w:b/>
        </w:rPr>
      </w:pPr>
      <w:r w:rsidRPr="00DE2186">
        <w:rPr>
          <w:b/>
        </w:rPr>
        <w:t>Q</w:t>
      </w:r>
      <w:r w:rsidR="00C11786" w:rsidRPr="00DE2186">
        <w:rPr>
          <w:b/>
        </w:rPr>
        <w:t>3</w:t>
      </w:r>
      <w:r w:rsidRPr="00DE2186">
        <w:rPr>
          <w:b/>
        </w:rPr>
        <w:t xml:space="preserve">:  </w:t>
      </w:r>
      <w:r w:rsidR="00E81A91">
        <w:rPr>
          <w:b/>
        </w:rPr>
        <w:t>Does</w:t>
      </w:r>
      <w:r w:rsidRPr="00DE2186">
        <w:rPr>
          <w:b/>
        </w:rPr>
        <w:t xml:space="preserve"> the </w:t>
      </w:r>
      <w:r w:rsidR="00E81A91">
        <w:rPr>
          <w:b/>
        </w:rPr>
        <w:t xml:space="preserve">category of </w:t>
      </w:r>
      <w:r w:rsidRPr="00DE2186">
        <w:rPr>
          <w:b/>
        </w:rPr>
        <w:t>“Other Litigation”</w:t>
      </w:r>
      <w:r w:rsidR="00E81A91">
        <w:rPr>
          <w:b/>
        </w:rPr>
        <w:t xml:space="preserve"> described in</w:t>
      </w:r>
      <w:r w:rsidRPr="00DE2186">
        <w:rPr>
          <w:b/>
        </w:rPr>
        <w:t xml:space="preserve"> </w:t>
      </w:r>
      <w:bookmarkStart w:id="1" w:name="_Hlk9440112"/>
      <w:r w:rsidRPr="00DE2186">
        <w:rPr>
          <w:b/>
        </w:rPr>
        <w:t>34 C.F.R. § 668.171(c)(1)(</w:t>
      </w:r>
      <w:r w:rsidR="00C11786" w:rsidRPr="00DE2186">
        <w:rPr>
          <w:b/>
        </w:rPr>
        <w:t>ii)</w:t>
      </w:r>
      <w:bookmarkEnd w:id="1"/>
      <w:r w:rsidR="00E81A91">
        <w:rPr>
          <w:b/>
        </w:rPr>
        <w:t xml:space="preserve"> and referenced in </w:t>
      </w:r>
      <w:r w:rsidR="00E81A91" w:rsidRPr="00DE2186">
        <w:rPr>
          <w:b/>
        </w:rPr>
        <w:t>34 C.F.R. § 668.171(</w:t>
      </w:r>
      <w:r w:rsidR="00E81A91">
        <w:rPr>
          <w:b/>
        </w:rPr>
        <w:t>h</w:t>
      </w:r>
      <w:r w:rsidR="00E81A91" w:rsidRPr="00DE2186">
        <w:rPr>
          <w:b/>
        </w:rPr>
        <w:t>)(1)(ii)</w:t>
      </w:r>
      <w:r w:rsidR="00E81A91">
        <w:rPr>
          <w:b/>
        </w:rPr>
        <w:t xml:space="preserve"> include</w:t>
      </w:r>
      <w:r w:rsidR="00C11786" w:rsidRPr="00DE2186">
        <w:rPr>
          <w:b/>
        </w:rPr>
        <w:t xml:space="preserve"> all lawsuits meeting the requirements regardless of their subject matter or amount</w:t>
      </w:r>
      <w:r w:rsidR="003C7487">
        <w:rPr>
          <w:b/>
        </w:rPr>
        <w:t>?</w:t>
      </w:r>
      <w:r w:rsidR="0031369F" w:rsidRPr="00DE2186">
        <w:rPr>
          <w:b/>
        </w:rPr>
        <w:t xml:space="preserve"> </w:t>
      </w:r>
      <w:r w:rsidR="00E81A91">
        <w:rPr>
          <w:b/>
        </w:rPr>
        <w:t>I</w:t>
      </w:r>
      <w:r w:rsidR="0031369F" w:rsidRPr="00DE2186">
        <w:rPr>
          <w:b/>
        </w:rPr>
        <w:t xml:space="preserve">s there </w:t>
      </w:r>
      <w:r w:rsidR="00E81A91">
        <w:rPr>
          <w:b/>
        </w:rPr>
        <w:t>any</w:t>
      </w:r>
      <w:r w:rsidR="0031369F" w:rsidRPr="00DE2186">
        <w:rPr>
          <w:b/>
        </w:rPr>
        <w:t xml:space="preserve"> claim type or materiality </w:t>
      </w:r>
      <w:r w:rsidR="00E81A91">
        <w:rPr>
          <w:b/>
        </w:rPr>
        <w:t xml:space="preserve">limitation </w:t>
      </w:r>
      <w:r w:rsidR="009B2376" w:rsidRPr="00DE2186">
        <w:rPr>
          <w:b/>
        </w:rPr>
        <w:t>to the requirement</w:t>
      </w:r>
      <w:r w:rsidR="00C11786" w:rsidRPr="00DE2186">
        <w:rPr>
          <w:b/>
        </w:rPr>
        <w:t>?</w:t>
      </w:r>
    </w:p>
    <w:p w14:paraId="26AEBB09" w14:textId="2DA0A088" w:rsidR="00C11786" w:rsidRDefault="00C11786" w:rsidP="00021DE6">
      <w:r w:rsidRPr="00DE2186">
        <w:rPr>
          <w:b/>
        </w:rPr>
        <w:t>A3:</w:t>
      </w:r>
      <w:r>
        <w:t xml:space="preserve">  34 C.F.R. § 668.171(c)(1)(ii) </w:t>
      </w:r>
      <w:r w:rsidR="00682F5A">
        <w:t xml:space="preserve">and the corresponding reporting requirement in </w:t>
      </w:r>
      <w:r w:rsidR="00682F5A" w:rsidRPr="00E81A91">
        <w:t>34 C.F.R. § 668.171(h)(1)(</w:t>
      </w:r>
      <w:r w:rsidR="00682F5A">
        <w:t>ii</w:t>
      </w:r>
      <w:r w:rsidR="00682F5A" w:rsidRPr="00E81A91">
        <w:t>)</w:t>
      </w:r>
      <w:r w:rsidR="00682F5A">
        <w:t xml:space="preserve"> </w:t>
      </w:r>
      <w:r>
        <w:t xml:space="preserve">do not limit the types of litigation that must be reported by </w:t>
      </w:r>
      <w:r w:rsidR="00E75503">
        <w:t xml:space="preserve">the </w:t>
      </w:r>
      <w:r>
        <w:t>amount at issue or the type of claim that is brought</w:t>
      </w:r>
      <w:r w:rsidR="00682F5A">
        <w:t>. These requirements</w:t>
      </w:r>
      <w:r w:rsidR="003C7487">
        <w:t xml:space="preserve"> appl</w:t>
      </w:r>
      <w:r w:rsidR="00682F5A">
        <w:t>y</w:t>
      </w:r>
      <w:r w:rsidR="003C7487">
        <w:t xml:space="preserve"> in every instance where an institution “is being sued in an action brought on or after July 1, 2017</w:t>
      </w:r>
      <w:r>
        <w:t>.</w:t>
      </w:r>
      <w:r w:rsidR="003C7487">
        <w:t>”</w:t>
      </w:r>
      <w:r>
        <w:t xml:space="preserve">  For example, lawsuits related to personal injury claims or fraud must be reported under 34 C.F.R. § 668.171(h)(1)(ii).</w:t>
      </w:r>
      <w:r w:rsidR="00BC1E52">
        <w:t xml:space="preserve">  The </w:t>
      </w:r>
      <w:r w:rsidR="003C7487">
        <w:t xml:space="preserve">language of the regulation does not include any </w:t>
      </w:r>
      <w:r w:rsidR="00BC1E52">
        <w:t xml:space="preserve">materiality threshold for </w:t>
      </w:r>
      <w:r w:rsidR="008F6878">
        <w:t>litigation that must be reported under this requirement</w:t>
      </w:r>
      <w:r w:rsidR="00320204">
        <w:t>.</w:t>
      </w:r>
      <w:r w:rsidR="0019365A">
        <w:t xml:space="preserve"> </w:t>
      </w:r>
      <w:r w:rsidR="00320204">
        <w:t>T</w:t>
      </w:r>
      <w:r w:rsidR="0019365A">
        <w:t>herefore, all litigation</w:t>
      </w:r>
      <w:r w:rsidR="00320204">
        <w:t xml:space="preserve">, </w:t>
      </w:r>
      <w:r w:rsidR="0019365A">
        <w:t>regardless of the type of legal action or the size of the claim</w:t>
      </w:r>
      <w:r w:rsidR="00320204">
        <w:t xml:space="preserve">, </w:t>
      </w:r>
      <w:r w:rsidR="0019365A">
        <w:t>must be reported</w:t>
      </w:r>
      <w:r w:rsidR="00B839F2">
        <w:t>.</w:t>
      </w:r>
    </w:p>
    <w:p w14:paraId="686153B6" w14:textId="0507D3ED" w:rsidR="004D187E" w:rsidRDefault="003E02F5" w:rsidP="004453FF">
      <w:r>
        <w:t>June 3, 2019</w:t>
      </w:r>
    </w:p>
    <w:p w14:paraId="1859D9A2" w14:textId="034DBF18" w:rsidR="00AF1CF4" w:rsidRDefault="00AF1CF4" w:rsidP="004453FF"/>
    <w:p w14:paraId="588FB745" w14:textId="3BB27202" w:rsidR="00AF1CF4" w:rsidRPr="00AF1CF4" w:rsidRDefault="00AF1CF4" w:rsidP="00AF1CF4">
      <w:pPr>
        <w:rPr>
          <w:b/>
        </w:rPr>
      </w:pPr>
      <w:r w:rsidRPr="00AF1CF4">
        <w:rPr>
          <w:b/>
        </w:rPr>
        <w:t>Q4:  If a lawsuit is a “borrower defense lawsuit,” should an institution send notice to both </w:t>
      </w:r>
      <w:hyperlink r:id="rId11" w:history="1">
        <w:r w:rsidRPr="00AF1CF4">
          <w:rPr>
            <w:rStyle w:val="Hyperlink"/>
            <w:b/>
          </w:rPr>
          <w:t>FSAFRN@ed.gov</w:t>
        </w:r>
      </w:hyperlink>
      <w:r w:rsidRPr="00AF1CF4">
        <w:rPr>
          <w:b/>
        </w:rPr>
        <w:t xml:space="preserve"> and </w:t>
      </w:r>
      <w:hyperlink r:id="rId12" w:history="1">
        <w:r w:rsidRPr="00AF1CF4">
          <w:rPr>
            <w:rStyle w:val="Hyperlink"/>
            <w:b/>
          </w:rPr>
          <w:t>borrowerdefense@ed.gov</w:t>
        </w:r>
      </w:hyperlink>
      <w:r w:rsidRPr="00AF1CF4">
        <w:rPr>
          <w:b/>
        </w:rPr>
        <w:t>?</w:t>
      </w:r>
    </w:p>
    <w:p w14:paraId="1C76C16A" w14:textId="0AE1BE3C" w:rsidR="00AF1CF4" w:rsidRDefault="00AF1CF4" w:rsidP="00AF1CF4">
      <w:r w:rsidRPr="00AF1CF4">
        <w:rPr>
          <w:b/>
        </w:rPr>
        <w:t>A4:</w:t>
      </w:r>
      <w:r>
        <w:t xml:space="preserve">  A lawsuit brought on the basis of claims related to the making of a Direct Loan or the provision of educational services for which the loan was issued (in other words, claims that could potentially become borrower defense claims) are subject to two different reporting requirements under the 2016 final regulations.</w:t>
      </w:r>
    </w:p>
    <w:p w14:paraId="12E6AFD7" w14:textId="77777777" w:rsidR="00AF1CF4" w:rsidRDefault="00AF1CF4" w:rsidP="00AF1CF4">
      <w:r>
        <w:t xml:space="preserve">First, copies of certain judicial records as described in 34 C.F.R. § 685.300(h) for lawsuits with a claim concerning a borrower defense claim (one that is or could be asserted as a borrower defense claim) should be sent to </w:t>
      </w:r>
      <w:hyperlink r:id="rId13" w:history="1">
        <w:r w:rsidRPr="00CD2B58">
          <w:rPr>
            <w:rStyle w:val="Hyperlink"/>
          </w:rPr>
          <w:t>borrowerdefense@ed.gov</w:t>
        </w:r>
      </w:hyperlink>
      <w:r>
        <w:t xml:space="preserve">.  </w:t>
      </w:r>
    </w:p>
    <w:p w14:paraId="36F484A7" w14:textId="77777777" w:rsidR="00AF1CF4" w:rsidRDefault="00AF1CF4" w:rsidP="00AF1CF4">
      <w:r>
        <w:t xml:space="preserve">Second, lawsuits brought by a Federal or State authority after </w:t>
      </w:r>
      <w:r w:rsidRPr="00792F7A">
        <w:t>July 1, 2017, on claims related to the making of a Direct Loan or the provision of educational services</w:t>
      </w:r>
      <w:r>
        <w:t xml:space="preserve"> (in other words, potential borrower defense claims)</w:t>
      </w:r>
      <w:r w:rsidRPr="00792F7A">
        <w:t xml:space="preserve">, which </w:t>
      </w:r>
      <w:r>
        <w:t xml:space="preserve">have </w:t>
      </w:r>
      <w:r w:rsidRPr="00792F7A">
        <w:t xml:space="preserve">been </w:t>
      </w:r>
      <w:r w:rsidRPr="004F354C">
        <w:t>pending for more than 120 days and which were still pending as of the March 20, 2019 electronic announcement,</w:t>
      </w:r>
      <w:r>
        <w:t xml:space="preserve"> notifications under 34 C.F.R. § 668.171(h)(1)(</w:t>
      </w:r>
      <w:proofErr w:type="spellStart"/>
      <w:r>
        <w:t>i</w:t>
      </w:r>
      <w:proofErr w:type="spellEnd"/>
      <w:r>
        <w:t xml:space="preserve">) should be sent to </w:t>
      </w:r>
      <w:hyperlink r:id="rId14" w:history="1">
        <w:r w:rsidRPr="00CD2B58">
          <w:rPr>
            <w:rStyle w:val="Hyperlink"/>
          </w:rPr>
          <w:t>FSAFRN@ed.gov</w:t>
        </w:r>
      </w:hyperlink>
      <w:r>
        <w:t xml:space="preserve">.  Because these lawsuits would also meet the requirements of 34 C.F.R. § 685.300(h), copies of the judicial records for such lawsuits should also be sent to </w:t>
      </w:r>
      <w:hyperlink r:id="rId15" w:history="1">
        <w:r w:rsidRPr="009B20F4">
          <w:rPr>
            <w:rStyle w:val="Hyperlink"/>
          </w:rPr>
          <w:t>borrowerdefense@ed.gov</w:t>
        </w:r>
      </w:hyperlink>
      <w:r>
        <w:t xml:space="preserve">. </w:t>
      </w:r>
    </w:p>
    <w:p w14:paraId="2186414F" w14:textId="4303A5A6" w:rsidR="00AF1CF4" w:rsidRDefault="00947A9C" w:rsidP="00AF1CF4">
      <w:r>
        <w:t>June 19, 2019</w:t>
      </w:r>
    </w:p>
    <w:p w14:paraId="020FCAFC" w14:textId="77777777" w:rsidR="00AF1CF4" w:rsidRDefault="00AF1CF4" w:rsidP="004453FF"/>
    <w:p w14:paraId="66879853" w14:textId="0F230149" w:rsidR="00021DE6" w:rsidRDefault="00AF1CF4" w:rsidP="00AF1CF4">
      <w:pPr>
        <w:pStyle w:val="ListParagraph"/>
        <w:numPr>
          <w:ilvl w:val="0"/>
          <w:numId w:val="1"/>
        </w:numPr>
      </w:pPr>
      <w:r>
        <w:rPr>
          <w:i/>
        </w:rPr>
        <w:lastRenderedPageBreak/>
        <w:t>Information in Institutional Notifications</w:t>
      </w:r>
    </w:p>
    <w:p w14:paraId="09F67B93" w14:textId="0ACDCDC2" w:rsidR="00AF1CF4" w:rsidRPr="00AF1CF4" w:rsidRDefault="00AF1CF4" w:rsidP="00AF1CF4">
      <w:pPr>
        <w:rPr>
          <w:b/>
        </w:rPr>
      </w:pPr>
      <w:r w:rsidRPr="00AF1CF4">
        <w:rPr>
          <w:b/>
        </w:rPr>
        <w:t>Q</w:t>
      </w:r>
      <w:r>
        <w:rPr>
          <w:b/>
        </w:rPr>
        <w:t>5</w:t>
      </w:r>
      <w:r w:rsidRPr="00AF1CF4">
        <w:rPr>
          <w:b/>
        </w:rPr>
        <w:t>:  Is there a template that institutions should use for financial responsibility reporting?</w:t>
      </w:r>
    </w:p>
    <w:p w14:paraId="4FEF7D82" w14:textId="0DC9CE73" w:rsidR="00AF1CF4" w:rsidRDefault="00AF1CF4" w:rsidP="00AF1CF4">
      <w:r w:rsidRPr="00AF1CF4">
        <w:rPr>
          <w:b/>
        </w:rPr>
        <w:t>A</w:t>
      </w:r>
      <w:r>
        <w:rPr>
          <w:b/>
        </w:rPr>
        <w:t>5</w:t>
      </w:r>
      <w:r w:rsidRPr="00AF1CF4">
        <w:rPr>
          <w:b/>
        </w:rPr>
        <w:t>:</w:t>
      </w:r>
      <w:r>
        <w:t xml:space="preserve">  Currently, there is no template.  However, the items listed below provide examples of what institutions might include in their notifications of financial responsibility events, conditions, and actions (“triggering events”) in 34 C.F.R. § 668.171(c)–(g), under the notification deadlines in 34 C.F.R. § 668.171(h), to the Department.  Institutions’ submissions may vary based upon the facts and circumstances of individual triggering events.  In providing any information to the Department, institutions should indicate if the information being submitted is confidential and/or proprietary and provide any updates to the Department if the confidential and/or proprietary status of the information changes.  An institution may also want to send information in an encrypted format, if the information is confidential or proprietary:</w:t>
      </w:r>
    </w:p>
    <w:p w14:paraId="31AECC87" w14:textId="77777777" w:rsidR="00AF1CF4" w:rsidRPr="00D04F4E" w:rsidRDefault="00AF1CF4" w:rsidP="00AF1CF4">
      <w:pPr>
        <w:rPr>
          <w:i/>
        </w:rPr>
      </w:pPr>
      <w:r>
        <w:rPr>
          <w:i/>
        </w:rPr>
        <w:t>General Information</w:t>
      </w:r>
    </w:p>
    <w:p w14:paraId="19E92AE4"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 xml:space="preserve">Institution Name </w:t>
      </w:r>
    </w:p>
    <w:p w14:paraId="211F2A1F"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 xml:space="preserve">OPEID </w:t>
      </w:r>
    </w:p>
    <w:p w14:paraId="439FB111"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 xml:space="preserve">Triggering Event Type </w:t>
      </w:r>
    </w:p>
    <w:p w14:paraId="6058AFCB"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 xml:space="preserve">Triggering Event Date </w:t>
      </w:r>
    </w:p>
    <w:p w14:paraId="455CD7B0"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Status of Triggering Event</w:t>
      </w:r>
    </w:p>
    <w:p w14:paraId="15CB45B8" w14:textId="77777777" w:rsidR="00AF1CF4" w:rsidRDefault="00AF1CF4" w:rsidP="00AF1CF4">
      <w:pPr>
        <w:pStyle w:val="ListParagraph"/>
        <w:numPr>
          <w:ilvl w:val="0"/>
          <w:numId w:val="2"/>
        </w:numPr>
        <w:spacing w:after="0" w:line="240" w:lineRule="auto"/>
        <w:contextualSpacing w:val="0"/>
        <w:rPr>
          <w:rFonts w:eastAsia="Times New Roman"/>
        </w:rPr>
      </w:pPr>
      <w:r>
        <w:rPr>
          <w:rFonts w:eastAsia="Times New Roman"/>
        </w:rPr>
        <w:t>Point of contact for the institution (name, email address, telephone number) for any Department follow-up inquiries</w:t>
      </w:r>
    </w:p>
    <w:p w14:paraId="323E61F6" w14:textId="77777777" w:rsidR="00AF1CF4" w:rsidRDefault="00AF1CF4" w:rsidP="00AF1CF4">
      <w:pPr>
        <w:pStyle w:val="ListParagraph"/>
        <w:spacing w:after="0" w:line="240" w:lineRule="auto"/>
        <w:contextualSpacing w:val="0"/>
        <w:rPr>
          <w:rFonts w:eastAsia="Times New Roman"/>
        </w:rPr>
      </w:pPr>
    </w:p>
    <w:p w14:paraId="1E40E419" w14:textId="77777777" w:rsidR="00AF1CF4" w:rsidRPr="00C35133" w:rsidRDefault="00AF1CF4" w:rsidP="00AF1CF4">
      <w:pPr>
        <w:rPr>
          <w:bCs/>
          <w:i/>
        </w:rPr>
      </w:pPr>
      <w:r>
        <w:rPr>
          <w:bCs/>
          <w:i/>
        </w:rPr>
        <w:t>Debts, Liabilities, and Losses, 34 C.F.R. §§ 668.171(c) and 668.171(h)(1)(</w:t>
      </w:r>
      <w:proofErr w:type="spellStart"/>
      <w:r>
        <w:rPr>
          <w:bCs/>
          <w:i/>
        </w:rPr>
        <w:t>i</w:t>
      </w:r>
      <w:proofErr w:type="spellEnd"/>
      <w:r>
        <w:rPr>
          <w:bCs/>
          <w:i/>
        </w:rPr>
        <w:t>)</w:t>
      </w:r>
    </w:p>
    <w:p w14:paraId="3A7B62BB" w14:textId="77777777" w:rsidR="00AF1CF4" w:rsidRDefault="00AF1CF4" w:rsidP="00AF1CF4">
      <w:pPr>
        <w:pStyle w:val="ListParagraph"/>
        <w:numPr>
          <w:ilvl w:val="0"/>
          <w:numId w:val="3"/>
        </w:numPr>
        <w:spacing w:after="0" w:line="240" w:lineRule="auto"/>
        <w:contextualSpacing w:val="0"/>
        <w:rPr>
          <w:rFonts w:eastAsia="Times New Roman"/>
        </w:rPr>
      </w:pPr>
      <w:r>
        <w:rPr>
          <w:rFonts w:eastAsia="Times New Roman"/>
        </w:rPr>
        <w:t>Copies of relevant documentation, such as judicial filings, orders, or papers demonstrating that a complaint has been filed in Federal or State court or in an administrative proceeding, that a liability such as through a settlement or as a result of a court order was incurred, and court procedural rules if applicable.  Under the regulations, an institution will need to provide submissions related to the same matter at different points of the proceedings.</w:t>
      </w:r>
    </w:p>
    <w:p w14:paraId="2A877CFF" w14:textId="77777777" w:rsidR="00AF1CF4" w:rsidRDefault="00AF1CF4" w:rsidP="00AF1CF4">
      <w:pPr>
        <w:pStyle w:val="ListParagraph"/>
        <w:spacing w:after="0" w:line="240" w:lineRule="auto"/>
        <w:contextualSpacing w:val="0"/>
        <w:rPr>
          <w:rFonts w:eastAsia="Times New Roman"/>
        </w:rPr>
      </w:pPr>
    </w:p>
    <w:p w14:paraId="2AD30D0B" w14:textId="77777777" w:rsidR="00AF1CF4" w:rsidRPr="00520FE4" w:rsidRDefault="00AF1CF4" w:rsidP="00AF1CF4">
      <w:pPr>
        <w:pStyle w:val="ListParagraph"/>
        <w:numPr>
          <w:ilvl w:val="0"/>
          <w:numId w:val="3"/>
        </w:numPr>
        <w:spacing w:after="0" w:line="240" w:lineRule="auto"/>
        <w:contextualSpacing w:val="0"/>
        <w:rPr>
          <w:bCs/>
          <w:i/>
        </w:rPr>
      </w:pPr>
      <w:r>
        <w:rPr>
          <w:bCs/>
        </w:rPr>
        <w:t>Insurance information</w:t>
      </w:r>
    </w:p>
    <w:p w14:paraId="7DA820A1" w14:textId="77777777" w:rsidR="00AF1CF4" w:rsidRPr="00520FE4" w:rsidRDefault="00AF1CF4" w:rsidP="00AF1CF4">
      <w:pPr>
        <w:pStyle w:val="ListParagraph"/>
        <w:rPr>
          <w:rFonts w:eastAsia="Times New Roman"/>
        </w:rPr>
      </w:pPr>
    </w:p>
    <w:p w14:paraId="35F8C530" w14:textId="77777777" w:rsidR="00AF1CF4" w:rsidRPr="00520FE4" w:rsidRDefault="00AF1CF4" w:rsidP="00AF1CF4">
      <w:pPr>
        <w:pStyle w:val="ListParagraph"/>
        <w:numPr>
          <w:ilvl w:val="1"/>
          <w:numId w:val="3"/>
        </w:numPr>
        <w:spacing w:after="0" w:line="240" w:lineRule="auto"/>
        <w:contextualSpacing w:val="0"/>
        <w:rPr>
          <w:bCs/>
          <w:i/>
        </w:rPr>
      </w:pPr>
      <w:r>
        <w:rPr>
          <w:rFonts w:eastAsia="Times New Roman"/>
        </w:rPr>
        <w:t>Information about any</w:t>
      </w:r>
      <w:r w:rsidRPr="002821EC">
        <w:rPr>
          <w:rFonts w:eastAsia="Times New Roman"/>
        </w:rPr>
        <w:t xml:space="preserve"> insurance </w:t>
      </w:r>
      <w:r>
        <w:rPr>
          <w:rFonts w:eastAsia="Times New Roman"/>
        </w:rPr>
        <w:t xml:space="preserve">an institution has that will </w:t>
      </w:r>
      <w:r w:rsidRPr="002821EC">
        <w:rPr>
          <w:rFonts w:eastAsia="Times New Roman"/>
        </w:rPr>
        <w:t xml:space="preserve">cover </w:t>
      </w:r>
      <w:r>
        <w:rPr>
          <w:rFonts w:eastAsia="Times New Roman"/>
        </w:rPr>
        <w:t xml:space="preserve">a liability from </w:t>
      </w:r>
      <w:r w:rsidRPr="002821EC">
        <w:rPr>
          <w:rFonts w:eastAsia="Times New Roman"/>
        </w:rPr>
        <w:t xml:space="preserve">a reported lawsuit, </w:t>
      </w:r>
      <w:r>
        <w:rPr>
          <w:rFonts w:eastAsia="Times New Roman"/>
        </w:rPr>
        <w:t xml:space="preserve">such as a copy </w:t>
      </w:r>
      <w:r w:rsidRPr="002821EC">
        <w:rPr>
          <w:rFonts w:eastAsia="Times New Roman"/>
        </w:rPr>
        <w:t xml:space="preserve">of the insurance policy, </w:t>
      </w:r>
      <w:r>
        <w:rPr>
          <w:rFonts w:eastAsia="Times New Roman"/>
        </w:rPr>
        <w:t xml:space="preserve">with </w:t>
      </w:r>
      <w:r w:rsidRPr="002821EC">
        <w:rPr>
          <w:rFonts w:eastAsia="Times New Roman"/>
        </w:rPr>
        <w:t>highlighting</w:t>
      </w:r>
      <w:r>
        <w:rPr>
          <w:rFonts w:eastAsia="Times New Roman"/>
        </w:rPr>
        <w:t xml:space="preserve"> of</w:t>
      </w:r>
      <w:r w:rsidRPr="002821EC">
        <w:rPr>
          <w:rFonts w:eastAsia="Times New Roman"/>
        </w:rPr>
        <w:t> the sections that identif</w:t>
      </w:r>
      <w:r>
        <w:rPr>
          <w:rFonts w:eastAsia="Times New Roman"/>
        </w:rPr>
        <w:t>y</w:t>
      </w:r>
      <w:r w:rsidRPr="002821EC">
        <w:rPr>
          <w:rFonts w:eastAsia="Times New Roman"/>
        </w:rPr>
        <w:t xml:space="preserve"> </w:t>
      </w:r>
      <w:r>
        <w:rPr>
          <w:rFonts w:eastAsia="Times New Roman"/>
        </w:rPr>
        <w:t xml:space="preserve">the </w:t>
      </w:r>
      <w:r w:rsidRPr="002821EC">
        <w:rPr>
          <w:rFonts w:eastAsia="Times New Roman"/>
        </w:rPr>
        <w:t>type of coverage and dollar amount</w:t>
      </w:r>
    </w:p>
    <w:p w14:paraId="23B1904A" w14:textId="77777777" w:rsidR="00AF1CF4" w:rsidRPr="00520FE4" w:rsidRDefault="00AF1CF4" w:rsidP="00AF1CF4">
      <w:pPr>
        <w:pStyle w:val="ListParagraph"/>
        <w:rPr>
          <w:bCs/>
          <w:i/>
        </w:rPr>
      </w:pPr>
    </w:p>
    <w:p w14:paraId="6DF93628" w14:textId="77777777" w:rsidR="00AF1CF4" w:rsidRPr="00520FE4" w:rsidRDefault="00AF1CF4" w:rsidP="00AF1CF4">
      <w:pPr>
        <w:pStyle w:val="ListParagraph"/>
        <w:numPr>
          <w:ilvl w:val="1"/>
          <w:numId w:val="3"/>
        </w:numPr>
        <w:spacing w:after="0" w:line="240" w:lineRule="auto"/>
        <w:contextualSpacing w:val="0"/>
        <w:rPr>
          <w:bCs/>
          <w:i/>
        </w:rPr>
      </w:pPr>
      <w:r>
        <w:rPr>
          <w:rFonts w:eastAsia="Times New Roman"/>
        </w:rPr>
        <w:t>Information about any liability from a reported lawsuit that has already been paid by the institution’s insurer; for example, documentation of that payment, and the amount</w:t>
      </w:r>
    </w:p>
    <w:p w14:paraId="0C9F7D1E" w14:textId="77777777" w:rsidR="00AF1CF4" w:rsidRPr="00520FE4" w:rsidRDefault="00AF1CF4" w:rsidP="00AF1CF4">
      <w:pPr>
        <w:pStyle w:val="ListParagraph"/>
        <w:spacing w:after="0" w:line="240" w:lineRule="auto"/>
        <w:contextualSpacing w:val="0"/>
        <w:rPr>
          <w:bCs/>
          <w:i/>
        </w:rPr>
      </w:pPr>
    </w:p>
    <w:p w14:paraId="5D8FA09E" w14:textId="77777777" w:rsidR="00AF1CF4" w:rsidRPr="002821EC" w:rsidRDefault="00AF1CF4" w:rsidP="00AF1CF4">
      <w:pPr>
        <w:pStyle w:val="ListParagraph"/>
        <w:numPr>
          <w:ilvl w:val="1"/>
          <w:numId w:val="3"/>
        </w:numPr>
        <w:spacing w:after="0" w:line="240" w:lineRule="auto"/>
        <w:contextualSpacing w:val="0"/>
        <w:rPr>
          <w:bCs/>
          <w:i/>
        </w:rPr>
      </w:pPr>
      <w:r>
        <w:rPr>
          <w:rFonts w:eastAsia="Times New Roman"/>
        </w:rPr>
        <w:t>Information about an insurer’s final decision; for example, documentation of the amount of the liability covered, or not covered, by the insurer</w:t>
      </w:r>
    </w:p>
    <w:p w14:paraId="6A11BA7E" w14:textId="77777777" w:rsidR="00AF1CF4" w:rsidRPr="002821EC" w:rsidRDefault="00AF1CF4" w:rsidP="00AF1CF4">
      <w:pPr>
        <w:spacing w:after="0" w:line="240" w:lineRule="auto"/>
        <w:rPr>
          <w:bCs/>
          <w:i/>
        </w:rPr>
      </w:pPr>
    </w:p>
    <w:p w14:paraId="452C5F98" w14:textId="77777777" w:rsidR="00AF1CF4" w:rsidRPr="009F7E0A" w:rsidRDefault="00AF1CF4" w:rsidP="00AF1CF4">
      <w:pPr>
        <w:rPr>
          <w:bCs/>
          <w:i/>
        </w:rPr>
      </w:pPr>
      <w:r w:rsidRPr="009F7E0A">
        <w:rPr>
          <w:bCs/>
          <w:i/>
        </w:rPr>
        <w:t>Accreditation (Teach-out Plan)</w:t>
      </w:r>
      <w:r>
        <w:rPr>
          <w:bCs/>
          <w:i/>
        </w:rPr>
        <w:t>, 34 C.F.R. §§ 668.171(c)(1)(iii) and 668.171(h)(1)(iii)</w:t>
      </w:r>
    </w:p>
    <w:p w14:paraId="525C32AB" w14:textId="77777777" w:rsidR="00AF1CF4" w:rsidRPr="000A0AA1" w:rsidRDefault="00AF1CF4" w:rsidP="00AF1CF4">
      <w:pPr>
        <w:pStyle w:val="ListParagraph"/>
        <w:numPr>
          <w:ilvl w:val="0"/>
          <w:numId w:val="4"/>
        </w:numPr>
        <w:spacing w:after="0" w:line="240" w:lineRule="auto"/>
        <w:contextualSpacing w:val="0"/>
      </w:pPr>
      <w:r>
        <w:rPr>
          <w:rFonts w:eastAsia="Times New Roman"/>
        </w:rPr>
        <w:t xml:space="preserve">Information about </w:t>
      </w:r>
      <w:r>
        <w:t>why a teach-out plan was required by the institution’s accreditor and the date that the institution must submit the plan to the accreditor</w:t>
      </w:r>
    </w:p>
    <w:p w14:paraId="3610ABE7" w14:textId="77777777" w:rsidR="00AF1CF4" w:rsidRDefault="00AF1CF4" w:rsidP="00AF1CF4">
      <w:pPr>
        <w:spacing w:after="0" w:line="240" w:lineRule="auto"/>
      </w:pPr>
    </w:p>
    <w:p w14:paraId="389F9855" w14:textId="77777777" w:rsidR="00AF1CF4" w:rsidRDefault="00AF1CF4" w:rsidP="00AF1CF4">
      <w:pPr>
        <w:spacing w:after="0" w:line="240" w:lineRule="auto"/>
        <w:rPr>
          <w:i/>
        </w:rPr>
      </w:pPr>
      <w:r>
        <w:rPr>
          <w:i/>
        </w:rPr>
        <w:t>Withdrawal of Owner’s Equity¸ 34 C.F.R. §§ 668.171(c)(1)(v) and 668.171(h)(1)(iv)</w:t>
      </w:r>
    </w:p>
    <w:p w14:paraId="5DA3BF6E" w14:textId="77777777" w:rsidR="00AF1CF4" w:rsidRDefault="00AF1CF4" w:rsidP="00AF1CF4">
      <w:pPr>
        <w:spacing w:after="0" w:line="240" w:lineRule="auto"/>
        <w:rPr>
          <w:i/>
        </w:rPr>
      </w:pPr>
    </w:p>
    <w:p w14:paraId="6DF3D4E5" w14:textId="77777777" w:rsidR="00AF1CF4" w:rsidRPr="00C43AB9" w:rsidRDefault="00AF1CF4" w:rsidP="00AF1CF4">
      <w:pPr>
        <w:pStyle w:val="ListParagraph"/>
        <w:numPr>
          <w:ilvl w:val="0"/>
          <w:numId w:val="4"/>
        </w:numPr>
        <w:spacing w:after="0" w:line="240" w:lineRule="auto"/>
        <w:rPr>
          <w:i/>
        </w:rPr>
      </w:pPr>
      <w:r>
        <w:t>Information about the amount withdrawn, the reason for the withdrawal, and any supporting documentation</w:t>
      </w:r>
    </w:p>
    <w:p w14:paraId="3E3B51A6" w14:textId="77777777" w:rsidR="00AF1CF4" w:rsidRPr="00C43AB9" w:rsidRDefault="00AF1CF4" w:rsidP="00AF1CF4">
      <w:pPr>
        <w:spacing w:after="0" w:line="240" w:lineRule="auto"/>
        <w:rPr>
          <w:i/>
        </w:rPr>
      </w:pPr>
    </w:p>
    <w:p w14:paraId="04B81BE9" w14:textId="77777777" w:rsidR="00AF1CF4" w:rsidRDefault="00AF1CF4" w:rsidP="00AF1CF4">
      <w:pPr>
        <w:rPr>
          <w:bCs/>
          <w:i/>
        </w:rPr>
      </w:pPr>
      <w:r>
        <w:rPr>
          <w:bCs/>
          <w:i/>
        </w:rPr>
        <w:t>Non-Title IV Revenue, 34 C.F.R. §§ 668.171(d) and 668.171(h)(1)(v)</w:t>
      </w:r>
    </w:p>
    <w:p w14:paraId="26135B84" w14:textId="77777777" w:rsidR="00AF1CF4" w:rsidRPr="00853274" w:rsidRDefault="00AF1CF4" w:rsidP="00AF1CF4">
      <w:pPr>
        <w:pStyle w:val="ListParagraph"/>
        <w:numPr>
          <w:ilvl w:val="0"/>
          <w:numId w:val="4"/>
        </w:numPr>
        <w:rPr>
          <w:bCs/>
        </w:rPr>
      </w:pPr>
      <w:r>
        <w:rPr>
          <w:bCs/>
        </w:rPr>
        <w:t>A copy of the institution’s computation and any supporting documentation</w:t>
      </w:r>
    </w:p>
    <w:p w14:paraId="4FAA8E53" w14:textId="77777777" w:rsidR="00AF1CF4" w:rsidRDefault="00AF1CF4" w:rsidP="00AF1CF4">
      <w:pPr>
        <w:spacing w:after="0" w:line="240" w:lineRule="auto"/>
        <w:rPr>
          <w:i/>
        </w:rPr>
      </w:pPr>
      <w:r>
        <w:rPr>
          <w:i/>
        </w:rPr>
        <w:t>SEC and Stock Exchange Actions, 34 C.F.R. §§ 668.171(e) and 668.171(h)(1)(vi)</w:t>
      </w:r>
    </w:p>
    <w:p w14:paraId="5D22E8E8" w14:textId="77777777" w:rsidR="00AF1CF4" w:rsidRDefault="00AF1CF4" w:rsidP="00AF1CF4">
      <w:pPr>
        <w:spacing w:after="0" w:line="240" w:lineRule="auto"/>
        <w:rPr>
          <w:i/>
        </w:rPr>
      </w:pPr>
    </w:p>
    <w:p w14:paraId="1F4DF58F" w14:textId="77777777" w:rsidR="00AF1CF4" w:rsidRPr="006E0F64" w:rsidRDefault="00AF1CF4" w:rsidP="00AF1CF4">
      <w:pPr>
        <w:pStyle w:val="ListParagraph"/>
        <w:numPr>
          <w:ilvl w:val="0"/>
          <w:numId w:val="4"/>
        </w:numPr>
        <w:spacing w:after="0" w:line="240" w:lineRule="auto"/>
        <w:rPr>
          <w:i/>
        </w:rPr>
      </w:pPr>
      <w:r>
        <w:t>Copies of the warning or documentation of the action taken by the U.S. Securities Exchange Commission (SEC) or by the stock exchange</w:t>
      </w:r>
    </w:p>
    <w:p w14:paraId="0CD22A4C" w14:textId="77777777" w:rsidR="00AF1CF4" w:rsidRDefault="00AF1CF4" w:rsidP="00AF1CF4">
      <w:pPr>
        <w:spacing w:after="0" w:line="240" w:lineRule="auto"/>
        <w:rPr>
          <w:i/>
        </w:rPr>
      </w:pPr>
    </w:p>
    <w:p w14:paraId="75AD53B0" w14:textId="77777777" w:rsidR="00AF1CF4" w:rsidRDefault="00AF1CF4" w:rsidP="00AF1CF4">
      <w:pPr>
        <w:spacing w:after="0" w:line="240" w:lineRule="auto"/>
        <w:rPr>
          <w:i/>
        </w:rPr>
      </w:pPr>
      <w:r>
        <w:rPr>
          <w:i/>
        </w:rPr>
        <w:t>State Licensing Agency Citation, 34 C.F.R. §§ 668.171(g)(2) and 668.171(h)(1)(vii)</w:t>
      </w:r>
    </w:p>
    <w:p w14:paraId="15707BFA" w14:textId="77777777" w:rsidR="00AF1CF4" w:rsidRPr="006E0F64" w:rsidRDefault="00AF1CF4" w:rsidP="00AF1CF4">
      <w:pPr>
        <w:spacing w:after="0" w:line="240" w:lineRule="auto"/>
        <w:rPr>
          <w:i/>
        </w:rPr>
      </w:pPr>
    </w:p>
    <w:p w14:paraId="1750F52C" w14:textId="77777777" w:rsidR="00AF1CF4" w:rsidRPr="00304469" w:rsidRDefault="00AF1CF4" w:rsidP="00AF1CF4">
      <w:pPr>
        <w:pStyle w:val="ListParagraph"/>
        <w:numPr>
          <w:ilvl w:val="0"/>
          <w:numId w:val="4"/>
        </w:numPr>
        <w:rPr>
          <w:bCs/>
          <w:i/>
        </w:rPr>
      </w:pPr>
      <w:r w:rsidRPr="00F0302E">
        <w:rPr>
          <w:bCs/>
        </w:rPr>
        <w:t>Copies of the citations, such as letters or other notifications, issued by a state licensing agency</w:t>
      </w:r>
    </w:p>
    <w:p w14:paraId="17DA5A2D" w14:textId="77777777" w:rsidR="00AF1CF4" w:rsidRPr="00A873C7" w:rsidRDefault="00AF1CF4" w:rsidP="00AF1CF4">
      <w:pPr>
        <w:rPr>
          <w:bCs/>
          <w:i/>
        </w:rPr>
      </w:pPr>
      <w:r w:rsidRPr="00A873C7">
        <w:rPr>
          <w:bCs/>
          <w:i/>
        </w:rPr>
        <w:t>Accreditor Show-Cause or Probation Action, 34 C.F.R. §§ 668.171(g)(5), 668.171(h)</w:t>
      </w:r>
      <w:r>
        <w:rPr>
          <w:bCs/>
          <w:i/>
        </w:rPr>
        <w:t>(1)</w:t>
      </w:r>
      <w:r w:rsidRPr="00A873C7">
        <w:rPr>
          <w:bCs/>
          <w:i/>
        </w:rPr>
        <w:t>(viii)</w:t>
      </w:r>
    </w:p>
    <w:p w14:paraId="2EC224E0" w14:textId="77777777" w:rsidR="00AF1CF4" w:rsidRPr="00437F62" w:rsidRDefault="00AF1CF4" w:rsidP="00AF1CF4">
      <w:pPr>
        <w:pStyle w:val="ListParagraph"/>
        <w:numPr>
          <w:ilvl w:val="0"/>
          <w:numId w:val="4"/>
        </w:numPr>
        <w:rPr>
          <w:bCs/>
          <w:i/>
        </w:rPr>
      </w:pPr>
      <w:r>
        <w:rPr>
          <w:bCs/>
        </w:rPr>
        <w:t>Documentation of the accreditor’s show-cause order or of the probation status</w:t>
      </w:r>
    </w:p>
    <w:p w14:paraId="690D6583" w14:textId="77777777" w:rsidR="00AF1CF4" w:rsidRPr="00BD6B57" w:rsidRDefault="00AF1CF4" w:rsidP="00AF1CF4">
      <w:pPr>
        <w:rPr>
          <w:bCs/>
          <w:i/>
        </w:rPr>
      </w:pPr>
      <w:r w:rsidRPr="009F7E0A">
        <w:rPr>
          <w:bCs/>
          <w:i/>
        </w:rPr>
        <w:t xml:space="preserve">Loan </w:t>
      </w:r>
      <w:r w:rsidRPr="00BD6B57">
        <w:rPr>
          <w:bCs/>
          <w:i/>
        </w:rPr>
        <w:t>Agreement Violation, 34 C.F.R. §§ 668.171(g)(6), 668.171(h)</w:t>
      </w:r>
      <w:r>
        <w:rPr>
          <w:bCs/>
          <w:i/>
        </w:rPr>
        <w:t>(1)</w:t>
      </w:r>
      <w:r w:rsidRPr="00BD6B57">
        <w:rPr>
          <w:bCs/>
          <w:i/>
        </w:rPr>
        <w:t>(ix)</w:t>
      </w:r>
    </w:p>
    <w:p w14:paraId="41FC3F03" w14:textId="77777777" w:rsidR="00AF1CF4" w:rsidRPr="00BD6B57" w:rsidRDefault="00AF1CF4" w:rsidP="00AF1CF4">
      <w:pPr>
        <w:pStyle w:val="ListParagraph"/>
        <w:numPr>
          <w:ilvl w:val="0"/>
          <w:numId w:val="4"/>
        </w:numPr>
        <w:spacing w:after="0" w:line="240" w:lineRule="auto"/>
        <w:contextualSpacing w:val="0"/>
        <w:rPr>
          <w:rFonts w:eastAsia="Times New Roman"/>
        </w:rPr>
      </w:pPr>
      <w:r w:rsidRPr="00BD6B57">
        <w:rPr>
          <w:rFonts w:eastAsia="Times New Roman"/>
        </w:rPr>
        <w:t>A copy of the loan agreement at issue and any letter or documentation from the creditor citing the nature and consequences of that violation</w:t>
      </w:r>
    </w:p>
    <w:p w14:paraId="050A2990" w14:textId="77777777" w:rsidR="00AF1CF4" w:rsidRPr="00BD6B57" w:rsidRDefault="00AF1CF4" w:rsidP="00AF1CF4">
      <w:pPr>
        <w:pStyle w:val="ListParagraph"/>
        <w:spacing w:after="0" w:line="240" w:lineRule="auto"/>
        <w:contextualSpacing w:val="0"/>
        <w:rPr>
          <w:rFonts w:eastAsia="Times New Roman"/>
        </w:rPr>
      </w:pPr>
    </w:p>
    <w:p w14:paraId="71E93A1F" w14:textId="77777777" w:rsidR="00AF1CF4" w:rsidRPr="00BD6B57" w:rsidRDefault="00AF1CF4" w:rsidP="00AF1CF4">
      <w:pPr>
        <w:pStyle w:val="ListParagraph"/>
        <w:numPr>
          <w:ilvl w:val="0"/>
          <w:numId w:val="4"/>
        </w:numPr>
        <w:spacing w:after="0" w:line="240" w:lineRule="auto"/>
        <w:contextualSpacing w:val="0"/>
        <w:rPr>
          <w:rFonts w:eastAsia="Times New Roman"/>
        </w:rPr>
      </w:pPr>
      <w:r w:rsidRPr="00BD6B57">
        <w:rPr>
          <w:rFonts w:eastAsia="Times New Roman"/>
        </w:rPr>
        <w:t>In cases where a waiver is granted by the creditor</w:t>
      </w:r>
      <w:r>
        <w:rPr>
          <w:rFonts w:eastAsia="Times New Roman"/>
        </w:rPr>
        <w:t xml:space="preserve"> in response to the loan agreement violation</w:t>
      </w:r>
      <w:r w:rsidRPr="00BD6B57">
        <w:rPr>
          <w:rFonts w:eastAsia="Times New Roman"/>
        </w:rPr>
        <w:t>, documentation of that waiver</w:t>
      </w:r>
    </w:p>
    <w:p w14:paraId="1B67BC0A" w14:textId="77777777" w:rsidR="00AF1CF4" w:rsidRDefault="00AF1CF4" w:rsidP="00AF1CF4">
      <w:pPr>
        <w:pStyle w:val="CommentText"/>
        <w:spacing w:after="0"/>
        <w:ind w:left="720"/>
        <w:rPr>
          <w:sz w:val="22"/>
          <w:szCs w:val="22"/>
        </w:rPr>
      </w:pPr>
    </w:p>
    <w:p w14:paraId="75A57A03" w14:textId="77777777" w:rsidR="00AF1CF4" w:rsidRPr="0090513C" w:rsidRDefault="00AF1CF4" w:rsidP="00AF1CF4">
      <w:pPr>
        <w:pStyle w:val="CommentText"/>
        <w:numPr>
          <w:ilvl w:val="0"/>
          <w:numId w:val="4"/>
        </w:numPr>
      </w:pPr>
      <w:r>
        <w:rPr>
          <w:sz w:val="22"/>
          <w:szCs w:val="22"/>
        </w:rPr>
        <w:t xml:space="preserve">A copy of any new loan agreements entered into as a result of the loan agreement violation, revisions or amendments of the existing loan agreement as a result of the violation, and/or a copy of any </w:t>
      </w:r>
      <w:r w:rsidRPr="00BD6B57">
        <w:rPr>
          <w:sz w:val="22"/>
          <w:szCs w:val="22"/>
        </w:rPr>
        <w:t xml:space="preserve">revised operating plans </w:t>
      </w:r>
      <w:r>
        <w:rPr>
          <w:sz w:val="22"/>
          <w:szCs w:val="22"/>
        </w:rPr>
        <w:t xml:space="preserve">it may have that are </w:t>
      </w:r>
      <w:r w:rsidRPr="00BD6B57">
        <w:rPr>
          <w:sz w:val="22"/>
          <w:szCs w:val="22"/>
        </w:rPr>
        <w:t xml:space="preserve">related to </w:t>
      </w:r>
      <w:r>
        <w:rPr>
          <w:sz w:val="22"/>
          <w:szCs w:val="22"/>
        </w:rPr>
        <w:t xml:space="preserve">the </w:t>
      </w:r>
      <w:r w:rsidRPr="00BD6B57">
        <w:rPr>
          <w:sz w:val="22"/>
          <w:szCs w:val="22"/>
        </w:rPr>
        <w:t>debt</w:t>
      </w:r>
      <w:r>
        <w:rPr>
          <w:sz w:val="22"/>
          <w:szCs w:val="22"/>
        </w:rPr>
        <w:t xml:space="preserve"> at issue in the original loan agreement</w:t>
      </w:r>
    </w:p>
    <w:p w14:paraId="2CAD983A" w14:textId="2B99C4E4" w:rsidR="00AF1CF4" w:rsidRDefault="00947A9C" w:rsidP="00AF1CF4">
      <w:r>
        <w:t>June 19, 2019</w:t>
      </w:r>
    </w:p>
    <w:p w14:paraId="6846AFA3" w14:textId="0835850E" w:rsidR="00AF1CF4" w:rsidRDefault="00AF1CF4" w:rsidP="00AF1CF4">
      <w:pPr>
        <w:spacing w:after="0" w:line="240" w:lineRule="auto"/>
      </w:pPr>
    </w:p>
    <w:p w14:paraId="083E103A" w14:textId="77777777" w:rsidR="00AF1CF4" w:rsidRDefault="00AF1CF4" w:rsidP="00AF1CF4">
      <w:pPr>
        <w:spacing w:after="0" w:line="240" w:lineRule="auto"/>
      </w:pPr>
    </w:p>
    <w:p w14:paraId="4AFF6D91" w14:textId="0CCEF021" w:rsidR="00AF1CF4" w:rsidRPr="00AF1CF4" w:rsidRDefault="00AF1CF4" w:rsidP="00AF1CF4">
      <w:pPr>
        <w:pStyle w:val="ListParagraph"/>
        <w:numPr>
          <w:ilvl w:val="0"/>
          <w:numId w:val="6"/>
        </w:numPr>
        <w:spacing w:after="0" w:line="240" w:lineRule="auto"/>
      </w:pPr>
      <w:r>
        <w:rPr>
          <w:i/>
        </w:rPr>
        <w:t>Teach-Out Plans</w:t>
      </w:r>
    </w:p>
    <w:p w14:paraId="4A427EE8" w14:textId="77777777" w:rsidR="00AF1CF4" w:rsidRPr="00BD6B57" w:rsidRDefault="00AF1CF4" w:rsidP="00AF1CF4">
      <w:pPr>
        <w:pStyle w:val="ListParagraph"/>
        <w:spacing w:after="0" w:line="240" w:lineRule="auto"/>
      </w:pPr>
    </w:p>
    <w:p w14:paraId="7ACCE571" w14:textId="6BDEBEEB" w:rsidR="00AF1CF4" w:rsidRPr="00AF1CF4" w:rsidRDefault="00AF1CF4" w:rsidP="00AF1CF4">
      <w:pPr>
        <w:rPr>
          <w:b/>
        </w:rPr>
      </w:pPr>
      <w:r w:rsidRPr="00AF1CF4">
        <w:rPr>
          <w:b/>
        </w:rPr>
        <w:t>Q</w:t>
      </w:r>
      <w:r>
        <w:rPr>
          <w:b/>
        </w:rPr>
        <w:t>6</w:t>
      </w:r>
      <w:r w:rsidRPr="00AF1CF4">
        <w:rPr>
          <w:b/>
        </w:rPr>
        <w:t>:  Does the requirement to notify the Department of an accreditor-approved teach-out plan exclude programmatic teach-out plans for individual programs?</w:t>
      </w:r>
    </w:p>
    <w:p w14:paraId="218B091A" w14:textId="05CCB243" w:rsidR="00AF1CF4" w:rsidRDefault="00AF1CF4" w:rsidP="00AF1CF4">
      <w:r w:rsidRPr="00AF1CF4">
        <w:rPr>
          <w:b/>
        </w:rPr>
        <w:t>A</w:t>
      </w:r>
      <w:r>
        <w:rPr>
          <w:b/>
        </w:rPr>
        <w:t>6</w:t>
      </w:r>
      <w:r w:rsidRPr="00AF1CF4">
        <w:rPr>
          <w:b/>
        </w:rPr>
        <w:t>:</w:t>
      </w:r>
      <w:r>
        <w:t xml:space="preserve">  </w:t>
      </w:r>
      <w:r w:rsidRPr="001F71AE">
        <w:t>The reporting requirement in 34 C</w:t>
      </w:r>
      <w:r>
        <w:t>.</w:t>
      </w:r>
      <w:r w:rsidRPr="001F71AE">
        <w:t>F</w:t>
      </w:r>
      <w:r>
        <w:t>.</w:t>
      </w:r>
      <w:r w:rsidRPr="001F71AE">
        <w:t>R</w:t>
      </w:r>
      <w:r>
        <w:t>. §</w:t>
      </w:r>
      <w:r w:rsidRPr="001F71AE">
        <w:t xml:space="preserve"> 668.171(h)(1)(iii) relates to the trigger in 34 C</w:t>
      </w:r>
      <w:r>
        <w:t>.</w:t>
      </w:r>
      <w:r w:rsidRPr="001F71AE">
        <w:t>F</w:t>
      </w:r>
      <w:r>
        <w:t>.</w:t>
      </w:r>
      <w:r w:rsidRPr="001F71AE">
        <w:t>R</w:t>
      </w:r>
      <w:r>
        <w:t>. §</w:t>
      </w:r>
      <w:r w:rsidRPr="001F71AE">
        <w:t xml:space="preserve"> 668.171(c)(1)(iii).  34 C</w:t>
      </w:r>
      <w:r>
        <w:t>.</w:t>
      </w:r>
      <w:r w:rsidRPr="001F71AE">
        <w:t>F</w:t>
      </w:r>
      <w:r>
        <w:t>.</w:t>
      </w:r>
      <w:r w:rsidRPr="001F71AE">
        <w:t>R</w:t>
      </w:r>
      <w:r>
        <w:t>.</w:t>
      </w:r>
      <w:r w:rsidRPr="001F71AE">
        <w:t xml:space="preserve"> </w:t>
      </w:r>
      <w:r>
        <w:t xml:space="preserve">§ </w:t>
      </w:r>
      <w:r w:rsidRPr="001F71AE">
        <w:t>6</w:t>
      </w:r>
      <w:r>
        <w:t>68</w:t>
      </w:r>
      <w:r w:rsidRPr="001F71AE">
        <w:t>.171(c)(1)(iii) refers to when an institution is required by its accrediting agency to submit a teach-out plan, for reasons described in 34 C</w:t>
      </w:r>
      <w:r>
        <w:t>.</w:t>
      </w:r>
      <w:r w:rsidRPr="001F71AE">
        <w:t>F</w:t>
      </w:r>
      <w:r>
        <w:t>.</w:t>
      </w:r>
      <w:r w:rsidRPr="001F71AE">
        <w:t>R</w:t>
      </w:r>
      <w:r>
        <w:t>.</w:t>
      </w:r>
      <w:r w:rsidRPr="001F71AE">
        <w:t xml:space="preserve"> § 602.23(c)(1) that covers the closing of an institution or any of its branches or additional locations.  If the programmatic teach</w:t>
      </w:r>
      <w:r>
        <w:t>-</w:t>
      </w:r>
      <w:r w:rsidRPr="001F71AE">
        <w:t xml:space="preserve">out </w:t>
      </w:r>
      <w:r w:rsidRPr="001F71AE">
        <w:lastRenderedPageBreak/>
        <w:t>would lead to the closure of the institution or any of its branches or additional locations, the accreditor</w:t>
      </w:r>
      <w:r>
        <w:t xml:space="preserve">-required </w:t>
      </w:r>
      <w:r w:rsidRPr="001F71AE">
        <w:t>teach-out must be reported.</w:t>
      </w:r>
    </w:p>
    <w:p w14:paraId="60AF48BD" w14:textId="33E29B33" w:rsidR="00AF1CF4" w:rsidRDefault="00947A9C" w:rsidP="00AF1CF4">
      <w:r>
        <w:t>June 19, 2019</w:t>
      </w:r>
    </w:p>
    <w:p w14:paraId="062F7D55" w14:textId="0E5731E1" w:rsidR="00AF1CF4" w:rsidRDefault="00AF1CF4" w:rsidP="00AF1CF4"/>
    <w:p w14:paraId="42214E2B" w14:textId="503B0260" w:rsidR="00AF1CF4" w:rsidRPr="00AF1CF4" w:rsidRDefault="00AF1CF4" w:rsidP="00AF1CF4">
      <w:pPr>
        <w:pStyle w:val="ListParagraph"/>
        <w:numPr>
          <w:ilvl w:val="0"/>
          <w:numId w:val="5"/>
        </w:numPr>
      </w:pPr>
      <w:r>
        <w:rPr>
          <w:i/>
        </w:rPr>
        <w:t>State Licensing or Authorizing Agency Citations</w:t>
      </w:r>
    </w:p>
    <w:p w14:paraId="1D67CC70" w14:textId="4E5F25EF" w:rsidR="00AF1CF4" w:rsidRPr="00AF1CF4" w:rsidRDefault="00AF1CF4" w:rsidP="00AF1CF4">
      <w:pPr>
        <w:rPr>
          <w:b/>
        </w:rPr>
      </w:pPr>
      <w:r w:rsidRPr="00AF1CF4">
        <w:rPr>
          <w:b/>
        </w:rPr>
        <w:t>Q</w:t>
      </w:r>
      <w:r>
        <w:rPr>
          <w:b/>
        </w:rPr>
        <w:t>7</w:t>
      </w:r>
      <w:r w:rsidRPr="00AF1CF4">
        <w:rPr>
          <w:b/>
        </w:rPr>
        <w:t>:  Under 34 C.F.R. § 668.171(g)(2) and 34 C.F.R. § 668.171(h)(1)(vii), an institution is required to notify the Department if “[t]he institution has received a citation by a state licensing or authorizing agency for failing state or agency requirements.”  Is there a materiality threshold for the types of citations that must be reported to the Department?</w:t>
      </w:r>
    </w:p>
    <w:p w14:paraId="321AAA26" w14:textId="4D762C44" w:rsidR="00AF1CF4" w:rsidRDefault="00AF1CF4" w:rsidP="00AF1CF4">
      <w:r w:rsidRPr="00AF1CF4">
        <w:rPr>
          <w:b/>
        </w:rPr>
        <w:t>A</w:t>
      </w:r>
      <w:r w:rsidR="00D26387">
        <w:rPr>
          <w:b/>
        </w:rPr>
        <w:t>7</w:t>
      </w:r>
      <w:r w:rsidRPr="00AF1CF4">
        <w:rPr>
          <w:b/>
        </w:rPr>
        <w:t>:</w:t>
      </w:r>
      <w:r>
        <w:t xml:space="preserve">  </w:t>
      </w:r>
      <w:r w:rsidRPr="001F71AE">
        <w:t>Under 34 C</w:t>
      </w:r>
      <w:r>
        <w:t>.</w:t>
      </w:r>
      <w:r w:rsidRPr="001F71AE">
        <w:t>F</w:t>
      </w:r>
      <w:r>
        <w:t>.</w:t>
      </w:r>
      <w:r w:rsidRPr="001F71AE">
        <w:t>R</w:t>
      </w:r>
      <w:r>
        <w:t>. §</w:t>
      </w:r>
      <w:r w:rsidRPr="001F71AE">
        <w:t xml:space="preserve"> 668.171(h)(1)(vii), a school is required to provide notice of the citation no later than “10 days after the institution is cited for violating a State or agency requirement</w:t>
      </w:r>
      <w:proofErr w:type="gramStart"/>
      <w:r>
        <w:t>. . . .</w:t>
      </w:r>
      <w:proofErr w:type="gramEnd"/>
      <w:r w:rsidRPr="001F71AE">
        <w:t xml:space="preserve">”  The regulation does not impose a materiality threshold for the citation at issue before the school is required to report it to the Department.  </w:t>
      </w:r>
      <w:r>
        <w:t>Thus, the school must notify the Department of any citation, regardless of the nature of the citation or the impact of the citation for the school.</w:t>
      </w:r>
    </w:p>
    <w:p w14:paraId="23DFDD11" w14:textId="0573E71C" w:rsidR="00AF1CF4" w:rsidRDefault="00947A9C" w:rsidP="00AF1CF4">
      <w:r>
        <w:t>June 19, 2019</w:t>
      </w:r>
    </w:p>
    <w:p w14:paraId="43FE35E4" w14:textId="5E30940A" w:rsidR="00AF1CF4" w:rsidRDefault="00AF1CF4" w:rsidP="00AF1CF4"/>
    <w:p w14:paraId="08AC2CB0" w14:textId="77777777" w:rsidR="00AF1CF4" w:rsidRDefault="00AF1CF4" w:rsidP="00AF1CF4"/>
    <w:p w14:paraId="6F2F705C" w14:textId="77777777" w:rsidR="00AF1CF4" w:rsidRDefault="00AF1CF4" w:rsidP="00F5357E"/>
    <w:sectPr w:rsidR="00AF1C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1595A" w14:textId="77777777" w:rsidR="00EF7B60" w:rsidRDefault="00EF7B60" w:rsidP="000405CD">
      <w:pPr>
        <w:spacing w:after="0" w:line="240" w:lineRule="auto"/>
      </w:pPr>
      <w:r>
        <w:separator/>
      </w:r>
    </w:p>
  </w:endnote>
  <w:endnote w:type="continuationSeparator" w:id="0">
    <w:p w14:paraId="4C5AE62B" w14:textId="77777777" w:rsidR="00EF7B60" w:rsidRDefault="00EF7B60" w:rsidP="00040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9FC4A" w14:textId="77777777" w:rsidR="00EF7B60" w:rsidRDefault="00EF7B60" w:rsidP="000405CD">
      <w:pPr>
        <w:spacing w:after="0" w:line="240" w:lineRule="auto"/>
      </w:pPr>
      <w:r>
        <w:separator/>
      </w:r>
    </w:p>
  </w:footnote>
  <w:footnote w:type="continuationSeparator" w:id="0">
    <w:p w14:paraId="7C2CC7CE" w14:textId="77777777" w:rsidR="00EF7B60" w:rsidRDefault="00EF7B60" w:rsidP="00040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0030A"/>
    <w:multiLevelType w:val="hybridMultilevel"/>
    <w:tmpl w:val="88D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AF4559"/>
    <w:multiLevelType w:val="hybridMultilevel"/>
    <w:tmpl w:val="22CC2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B92265"/>
    <w:multiLevelType w:val="hybridMultilevel"/>
    <w:tmpl w:val="69D45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D15117C"/>
    <w:multiLevelType w:val="hybridMultilevel"/>
    <w:tmpl w:val="04709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6F128B7"/>
    <w:multiLevelType w:val="hybridMultilevel"/>
    <w:tmpl w:val="4FCE1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062BEE"/>
    <w:multiLevelType w:val="hybridMultilevel"/>
    <w:tmpl w:val="ED6E5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DE6"/>
    <w:rsid w:val="00021DE6"/>
    <w:rsid w:val="000405CD"/>
    <w:rsid w:val="000E597B"/>
    <w:rsid w:val="0019365A"/>
    <w:rsid w:val="001E0A3E"/>
    <w:rsid w:val="00202184"/>
    <w:rsid w:val="0025763B"/>
    <w:rsid w:val="002760F1"/>
    <w:rsid w:val="002F66D3"/>
    <w:rsid w:val="002F69E2"/>
    <w:rsid w:val="0031369F"/>
    <w:rsid w:val="00320204"/>
    <w:rsid w:val="00365CCD"/>
    <w:rsid w:val="003C7487"/>
    <w:rsid w:val="003D699D"/>
    <w:rsid w:val="003D72A4"/>
    <w:rsid w:val="003E02F5"/>
    <w:rsid w:val="003E5041"/>
    <w:rsid w:val="00412B3A"/>
    <w:rsid w:val="00433688"/>
    <w:rsid w:val="004371B5"/>
    <w:rsid w:val="00442C49"/>
    <w:rsid w:val="004453FF"/>
    <w:rsid w:val="00466093"/>
    <w:rsid w:val="00474150"/>
    <w:rsid w:val="00494EEC"/>
    <w:rsid w:val="004A073C"/>
    <w:rsid w:val="004D187E"/>
    <w:rsid w:val="004E0C60"/>
    <w:rsid w:val="00504473"/>
    <w:rsid w:val="005235DB"/>
    <w:rsid w:val="005B6DA8"/>
    <w:rsid w:val="005E05BF"/>
    <w:rsid w:val="005E7086"/>
    <w:rsid w:val="005F4C5A"/>
    <w:rsid w:val="00600B52"/>
    <w:rsid w:val="00601543"/>
    <w:rsid w:val="00617BAF"/>
    <w:rsid w:val="00655BBB"/>
    <w:rsid w:val="00682F5A"/>
    <w:rsid w:val="006D5471"/>
    <w:rsid w:val="006E188B"/>
    <w:rsid w:val="0070569A"/>
    <w:rsid w:val="00773AD0"/>
    <w:rsid w:val="00783146"/>
    <w:rsid w:val="00792274"/>
    <w:rsid w:val="00822D53"/>
    <w:rsid w:val="00826966"/>
    <w:rsid w:val="00832499"/>
    <w:rsid w:val="0084760F"/>
    <w:rsid w:val="00892EA3"/>
    <w:rsid w:val="008B3EAA"/>
    <w:rsid w:val="008B4235"/>
    <w:rsid w:val="008E452B"/>
    <w:rsid w:val="008F6878"/>
    <w:rsid w:val="00947A9C"/>
    <w:rsid w:val="0097006A"/>
    <w:rsid w:val="00985058"/>
    <w:rsid w:val="009B2376"/>
    <w:rsid w:val="00A518E1"/>
    <w:rsid w:val="00A80D21"/>
    <w:rsid w:val="00A97BA4"/>
    <w:rsid w:val="00AB4EFC"/>
    <w:rsid w:val="00AD1B6F"/>
    <w:rsid w:val="00AD39FD"/>
    <w:rsid w:val="00AF1CF4"/>
    <w:rsid w:val="00B02FA2"/>
    <w:rsid w:val="00B24731"/>
    <w:rsid w:val="00B320D0"/>
    <w:rsid w:val="00B839F2"/>
    <w:rsid w:val="00B9481B"/>
    <w:rsid w:val="00BC1E52"/>
    <w:rsid w:val="00C11786"/>
    <w:rsid w:val="00C120EA"/>
    <w:rsid w:val="00C7744B"/>
    <w:rsid w:val="00C85BE7"/>
    <w:rsid w:val="00C97D67"/>
    <w:rsid w:val="00CA0F34"/>
    <w:rsid w:val="00CB7E8A"/>
    <w:rsid w:val="00CC2600"/>
    <w:rsid w:val="00CD3652"/>
    <w:rsid w:val="00CE2661"/>
    <w:rsid w:val="00D001BF"/>
    <w:rsid w:val="00D1659B"/>
    <w:rsid w:val="00D26387"/>
    <w:rsid w:val="00DE2186"/>
    <w:rsid w:val="00E75503"/>
    <w:rsid w:val="00E81A91"/>
    <w:rsid w:val="00EA356F"/>
    <w:rsid w:val="00EF7B60"/>
    <w:rsid w:val="00F5357E"/>
    <w:rsid w:val="00F81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9A2D8"/>
  <w15:docId w15:val="{89FC7E15-72FC-4ADE-8E93-DBD2D9D8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01543"/>
    <w:rPr>
      <w:sz w:val="16"/>
      <w:szCs w:val="16"/>
    </w:rPr>
  </w:style>
  <w:style w:type="paragraph" w:styleId="CommentText">
    <w:name w:val="annotation text"/>
    <w:basedOn w:val="Normal"/>
    <w:link w:val="CommentTextChar"/>
    <w:uiPriority w:val="99"/>
    <w:unhideWhenUsed/>
    <w:rsid w:val="00601543"/>
    <w:pPr>
      <w:spacing w:line="240" w:lineRule="auto"/>
    </w:pPr>
    <w:rPr>
      <w:sz w:val="20"/>
      <w:szCs w:val="20"/>
    </w:rPr>
  </w:style>
  <w:style w:type="character" w:customStyle="1" w:styleId="CommentTextChar">
    <w:name w:val="Comment Text Char"/>
    <w:basedOn w:val="DefaultParagraphFont"/>
    <w:link w:val="CommentText"/>
    <w:uiPriority w:val="99"/>
    <w:rsid w:val="00601543"/>
    <w:rPr>
      <w:sz w:val="20"/>
      <w:szCs w:val="20"/>
    </w:rPr>
  </w:style>
  <w:style w:type="paragraph" w:styleId="CommentSubject">
    <w:name w:val="annotation subject"/>
    <w:basedOn w:val="CommentText"/>
    <w:next w:val="CommentText"/>
    <w:link w:val="CommentSubjectChar"/>
    <w:uiPriority w:val="99"/>
    <w:semiHidden/>
    <w:unhideWhenUsed/>
    <w:rsid w:val="00601543"/>
    <w:rPr>
      <w:b/>
      <w:bCs/>
    </w:rPr>
  </w:style>
  <w:style w:type="character" w:customStyle="1" w:styleId="CommentSubjectChar">
    <w:name w:val="Comment Subject Char"/>
    <w:basedOn w:val="CommentTextChar"/>
    <w:link w:val="CommentSubject"/>
    <w:uiPriority w:val="99"/>
    <w:semiHidden/>
    <w:rsid w:val="00601543"/>
    <w:rPr>
      <w:b/>
      <w:bCs/>
      <w:sz w:val="20"/>
      <w:szCs w:val="20"/>
    </w:rPr>
  </w:style>
  <w:style w:type="paragraph" w:styleId="BalloonText">
    <w:name w:val="Balloon Text"/>
    <w:basedOn w:val="Normal"/>
    <w:link w:val="BalloonTextChar"/>
    <w:uiPriority w:val="99"/>
    <w:semiHidden/>
    <w:unhideWhenUsed/>
    <w:rsid w:val="006015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543"/>
    <w:rPr>
      <w:rFonts w:ascii="Segoe UI" w:hAnsi="Segoe UI" w:cs="Segoe UI"/>
      <w:sz w:val="18"/>
      <w:szCs w:val="18"/>
    </w:rPr>
  </w:style>
  <w:style w:type="paragraph" w:styleId="Header">
    <w:name w:val="header"/>
    <w:basedOn w:val="Normal"/>
    <w:link w:val="HeaderChar"/>
    <w:uiPriority w:val="99"/>
    <w:unhideWhenUsed/>
    <w:rsid w:val="00040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5CD"/>
  </w:style>
  <w:style w:type="paragraph" w:styleId="Footer">
    <w:name w:val="footer"/>
    <w:basedOn w:val="Normal"/>
    <w:link w:val="FooterChar"/>
    <w:uiPriority w:val="99"/>
    <w:unhideWhenUsed/>
    <w:rsid w:val="00040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5CD"/>
  </w:style>
  <w:style w:type="paragraph" w:styleId="ListParagraph">
    <w:name w:val="List Paragraph"/>
    <w:basedOn w:val="Normal"/>
    <w:uiPriority w:val="34"/>
    <w:qFormat/>
    <w:rsid w:val="00504473"/>
    <w:pPr>
      <w:ind w:left="720"/>
      <w:contextualSpacing/>
    </w:pPr>
  </w:style>
  <w:style w:type="character" w:styleId="Hyperlink">
    <w:name w:val="Hyperlink"/>
    <w:basedOn w:val="DefaultParagraphFont"/>
    <w:uiPriority w:val="99"/>
    <w:unhideWhenUsed/>
    <w:rsid w:val="00EA356F"/>
    <w:rPr>
      <w:color w:val="0563C1" w:themeColor="hyperlink"/>
      <w:u w:val="single"/>
    </w:rPr>
  </w:style>
  <w:style w:type="character" w:styleId="UnresolvedMention">
    <w:name w:val="Unresolved Mention"/>
    <w:basedOn w:val="DefaultParagraphFont"/>
    <w:uiPriority w:val="99"/>
    <w:semiHidden/>
    <w:unhideWhenUsed/>
    <w:rsid w:val="004E0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o.gov/fdsys/pkg/FR-2016-11-01/pdf/2016-25448.pdf" TargetMode="External"/><Relationship Id="rId13" Type="http://schemas.openxmlformats.org/officeDocument/2006/relationships/hyperlink" Target="mailto:borrowerdefense@ed.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rrowerdefense@ed.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FRN@ed.gov" TargetMode="External"/><Relationship Id="rId5" Type="http://schemas.openxmlformats.org/officeDocument/2006/relationships/webSettings" Target="webSettings.xml"/><Relationship Id="rId15" Type="http://schemas.openxmlformats.org/officeDocument/2006/relationships/hyperlink" Target="mailto:borrowerdefense@ed.gov" TargetMode="External"/><Relationship Id="rId10" Type="http://schemas.openxmlformats.org/officeDocument/2006/relationships/hyperlink" Target="https://ifap.ed.gov/eannouncements/052019QuestionFinancialResponProvision2016BorrowDefenseRegulate.html" TargetMode="External"/><Relationship Id="rId4" Type="http://schemas.openxmlformats.org/officeDocument/2006/relationships/settings" Target="settings.xml"/><Relationship Id="rId9" Type="http://schemas.openxmlformats.org/officeDocument/2006/relationships/hyperlink" Target="https://ifap.ed.gov/eannouncements/030719GuidConcernProv2016BorrowerDefensetoRypmtRegs.html" TargetMode="External"/><Relationship Id="rId14" Type="http://schemas.openxmlformats.org/officeDocument/2006/relationships/hyperlink" Target="mailto:FSAFRN@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7D568-3A28-415A-97FF-A760E4EE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1813</Words>
  <Characters>10336</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c:creator>
  <cp:lastModifiedBy>Thompson, Jennifer</cp:lastModifiedBy>
  <cp:revision>2</cp:revision>
  <dcterms:created xsi:type="dcterms:W3CDTF">2019-06-19T11:20:00Z</dcterms:created>
  <dcterms:modified xsi:type="dcterms:W3CDTF">2019-06-19T11:20:00Z</dcterms:modified>
</cp:coreProperties>
</file>